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274"/>
        <w:tblW w:w="15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409"/>
        <w:gridCol w:w="1576"/>
        <w:gridCol w:w="1841"/>
        <w:gridCol w:w="2128"/>
        <w:gridCol w:w="4110"/>
        <w:gridCol w:w="4323"/>
      </w:tblGrid>
      <w:tr w:rsidR="00850665" w:rsidTr="007D4E03">
        <w:trPr>
          <w:trHeight w:val="407"/>
        </w:trPr>
        <w:tc>
          <w:tcPr>
            <w:tcW w:w="11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50665" w:rsidRPr="000A66BE" w:rsidRDefault="00850665" w:rsidP="00850665">
            <w:pPr>
              <w:rPr>
                <w:b/>
                <w:sz w:val="24"/>
                <w:szCs w:val="24"/>
              </w:rPr>
            </w:pPr>
            <w:r w:rsidRPr="000A66BE">
              <w:rPr>
                <w:b/>
                <w:sz w:val="24"/>
                <w:szCs w:val="24"/>
              </w:rPr>
              <w:t>Produit</w:t>
            </w:r>
          </w:p>
        </w:tc>
        <w:tc>
          <w:tcPr>
            <w:tcW w:w="3417" w:type="dxa"/>
            <w:gridSpan w:val="2"/>
            <w:shd w:val="clear" w:color="auto" w:fill="C6D9F1" w:themeFill="text2" w:themeFillTint="33"/>
          </w:tcPr>
          <w:p w:rsidR="00850665" w:rsidRDefault="00850665" w:rsidP="00850665">
            <w:r>
              <w:t xml:space="preserve">Nom : Guitare </w:t>
            </w:r>
            <w:r w:rsidRPr="00710957">
              <w:rPr>
                <w:b/>
                <w:sz w:val="24"/>
                <w:szCs w:val="24"/>
              </w:rPr>
              <w:t xml:space="preserve">Gibson </w:t>
            </w:r>
            <w:proofErr w:type="spellStart"/>
            <w:r w:rsidRPr="00710957">
              <w:rPr>
                <w:b/>
                <w:sz w:val="24"/>
                <w:szCs w:val="24"/>
              </w:rPr>
              <w:t>Dusk</w:t>
            </w:r>
            <w:proofErr w:type="spellEnd"/>
            <w:r w:rsidRPr="0071095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10957">
              <w:rPr>
                <w:b/>
                <w:sz w:val="24"/>
                <w:szCs w:val="24"/>
              </w:rPr>
              <w:t>Tiger</w:t>
            </w:r>
            <w:proofErr w:type="spellEnd"/>
          </w:p>
        </w:tc>
        <w:tc>
          <w:tcPr>
            <w:tcW w:w="6238" w:type="dxa"/>
            <w:gridSpan w:val="2"/>
            <w:shd w:val="clear" w:color="auto" w:fill="C6D9F1" w:themeFill="text2" w:themeFillTint="33"/>
          </w:tcPr>
          <w:p w:rsidR="00850665" w:rsidRDefault="00850665" w:rsidP="00850665">
            <w:r>
              <w:t xml:space="preserve">    Fournisseur : Gibson France distribution</w:t>
            </w:r>
          </w:p>
        </w:tc>
        <w:tc>
          <w:tcPr>
            <w:tcW w:w="4323" w:type="dxa"/>
            <w:shd w:val="clear" w:color="auto" w:fill="C6D9F1" w:themeFill="text2" w:themeFillTint="33"/>
          </w:tcPr>
          <w:p w:rsidR="00850665" w:rsidRDefault="007D4E03" w:rsidP="00850665">
            <w:r>
              <w:t>Photographie des produits étudiés</w:t>
            </w:r>
          </w:p>
        </w:tc>
      </w:tr>
      <w:tr w:rsidR="00850665" w:rsidTr="00850665">
        <w:trPr>
          <w:cantSplit/>
          <w:trHeight w:val="1010"/>
        </w:trPr>
        <w:tc>
          <w:tcPr>
            <w:tcW w:w="1188" w:type="dxa"/>
            <w:gridSpan w:val="2"/>
            <w:shd w:val="clear" w:color="auto" w:fill="C6D9F1" w:themeFill="text2" w:themeFillTint="33"/>
            <w:vAlign w:val="center"/>
          </w:tcPr>
          <w:p w:rsidR="00850665" w:rsidRPr="000A66BE" w:rsidRDefault="00850665" w:rsidP="00850665">
            <w:pPr>
              <w:jc w:val="center"/>
              <w:rPr>
                <w:b/>
              </w:rPr>
            </w:pPr>
            <w:r w:rsidRPr="000A66BE">
              <w:rPr>
                <w:b/>
              </w:rPr>
              <w:t>Description</w:t>
            </w:r>
          </w:p>
        </w:tc>
        <w:tc>
          <w:tcPr>
            <w:tcW w:w="9655" w:type="dxa"/>
            <w:gridSpan w:val="4"/>
            <w:shd w:val="clear" w:color="auto" w:fill="auto"/>
          </w:tcPr>
          <w:p w:rsidR="00850665" w:rsidRPr="00E93AC5" w:rsidRDefault="00850665" w:rsidP="00850665">
            <w:pPr>
              <w:rPr>
                <w:sz w:val="20"/>
                <w:szCs w:val="20"/>
              </w:rPr>
            </w:pPr>
            <w:r w:rsidRPr="00E93AC5">
              <w:rPr>
                <w:sz w:val="20"/>
                <w:szCs w:val="20"/>
              </w:rPr>
              <w:t xml:space="preserve">Cette guitare, destinée aux artistes, leur permet de choisir et d’effectuer un type d’accordage très facilement en moins d’une seconde. </w:t>
            </w:r>
            <w:r>
              <w:rPr>
                <w:sz w:val="20"/>
                <w:szCs w:val="20"/>
              </w:rPr>
              <w:t xml:space="preserve"> </w:t>
            </w:r>
            <w:r w:rsidRPr="00E93AC5">
              <w:rPr>
                <w:sz w:val="20"/>
                <w:szCs w:val="20"/>
              </w:rPr>
              <w:t>La guitare est équipée d’un système d’accordage automatique intégré (appelé système Robot par Gibson)</w:t>
            </w:r>
            <w:r>
              <w:rPr>
                <w:sz w:val="20"/>
                <w:szCs w:val="20"/>
              </w:rPr>
              <w:t xml:space="preserve"> programmable via un boitier d’interface et d’un ordinateur.</w:t>
            </w:r>
          </w:p>
        </w:tc>
        <w:tc>
          <w:tcPr>
            <w:tcW w:w="4323" w:type="dxa"/>
            <w:vMerge w:val="restart"/>
            <w:shd w:val="clear" w:color="auto" w:fill="auto"/>
          </w:tcPr>
          <w:p w:rsidR="00850665" w:rsidRDefault="000D0DC1" w:rsidP="00850665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9" type="#_x0000_t202" style="position:absolute;margin-left:10.95pt;margin-top:2.35pt;width:76.05pt;height:123.35pt;z-index:251660288;mso-position-horizontal-relative:text;mso-position-vertical-relative:text;mso-width-relative:margin;mso-height-relative:margin" filled="f" stroked="f">
                  <v:textbox style="mso-next-textbox:#_x0000_s1059">
                    <w:txbxContent>
                      <w:p w:rsidR="00850665" w:rsidRDefault="00850665" w:rsidP="00850665">
                        <w:r w:rsidRPr="000B0F6B"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>
                              <wp:extent cx="612011" cy="1531089"/>
                              <wp:effectExtent l="19050" t="0" r="0" b="0"/>
                              <wp:docPr id="1" name="Image 1" descr="gibson tiger dusk fond blanc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ibson tiger dusk fond blanc.JPG"/>
                                      <pic:cNvPicPr/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18197" cy="154656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F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60" type="#_x0000_t13" style="position:absolute;margin-left:-18.9pt;margin-top:73.45pt;width:29.85pt;height:5.35pt;rotation:2033638fd;z-index:251661312;mso-position-horizontal-relative:text;mso-position-vertical-relative:text" fillcolor="#548dd4 [1951]"/>
              </w:pict>
            </w:r>
            <w:r w:rsidR="00850665">
              <w:rPr>
                <w:noProof/>
                <w:lang w:eastAsia="fr-FR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1270</wp:posOffset>
                  </wp:positionV>
                  <wp:extent cx="863600" cy="1498600"/>
                  <wp:effectExtent l="19050" t="0" r="0" b="0"/>
                  <wp:wrapTight wrapText="bothSides">
                    <wp:wrapPolygon edited="0">
                      <wp:start x="-476" y="0"/>
                      <wp:lineTo x="-476" y="21417"/>
                      <wp:lineTo x="21441" y="21417"/>
                      <wp:lineTo x="21441" y="0"/>
                      <wp:lineTo x="-476" y="0"/>
                    </wp:wrapPolygon>
                  </wp:wrapTight>
                  <wp:docPr id="2" name="Image 0" descr="guitareavecaccordeur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itareavecaccordeur.bmp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360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50665" w:rsidTr="00850665">
        <w:trPr>
          <w:cantSplit/>
          <w:trHeight w:val="771"/>
        </w:trPr>
        <w:tc>
          <w:tcPr>
            <w:tcW w:w="1188" w:type="dxa"/>
            <w:gridSpan w:val="2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850665" w:rsidRPr="000A66BE" w:rsidRDefault="00850665" w:rsidP="00850665">
            <w:pPr>
              <w:jc w:val="center"/>
              <w:rPr>
                <w:b/>
              </w:rPr>
            </w:pPr>
            <w:r w:rsidRPr="000A66BE">
              <w:rPr>
                <w:b/>
              </w:rPr>
              <w:t>Supports</w:t>
            </w:r>
          </w:p>
        </w:tc>
        <w:tc>
          <w:tcPr>
            <w:tcW w:w="965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50665" w:rsidRPr="00E93AC5" w:rsidRDefault="00850665" w:rsidP="00850665">
            <w:pPr>
              <w:rPr>
                <w:sz w:val="20"/>
                <w:szCs w:val="20"/>
              </w:rPr>
            </w:pPr>
            <w:r w:rsidRPr="00E93AC5">
              <w:rPr>
                <w:sz w:val="20"/>
                <w:szCs w:val="20"/>
              </w:rPr>
              <w:t>Guitare « </w:t>
            </w:r>
            <w:proofErr w:type="spellStart"/>
            <w:r w:rsidRPr="00E93AC5">
              <w:rPr>
                <w:sz w:val="20"/>
                <w:szCs w:val="20"/>
              </w:rPr>
              <w:t>Elypse</w:t>
            </w:r>
            <w:proofErr w:type="spellEnd"/>
            <w:r w:rsidRPr="00E93AC5">
              <w:rPr>
                <w:sz w:val="20"/>
                <w:szCs w:val="20"/>
              </w:rPr>
              <w:t xml:space="preserve"> ODD Spécial » / Accordeur « KORG »  / « Guitare Gibson </w:t>
            </w:r>
            <w:proofErr w:type="spellStart"/>
            <w:r w:rsidRPr="00E93AC5">
              <w:rPr>
                <w:sz w:val="20"/>
                <w:szCs w:val="20"/>
              </w:rPr>
              <w:t>Dusk</w:t>
            </w:r>
            <w:proofErr w:type="spellEnd"/>
            <w:r w:rsidRPr="00E93AC5">
              <w:rPr>
                <w:sz w:val="20"/>
                <w:szCs w:val="20"/>
              </w:rPr>
              <w:t xml:space="preserve"> </w:t>
            </w:r>
            <w:proofErr w:type="spellStart"/>
            <w:r w:rsidRPr="00E93AC5">
              <w:rPr>
                <w:sz w:val="20"/>
                <w:szCs w:val="20"/>
              </w:rPr>
              <w:t>Tiger</w:t>
            </w:r>
            <w:proofErr w:type="spellEnd"/>
            <w:r w:rsidRPr="00E93AC5">
              <w:rPr>
                <w:sz w:val="20"/>
                <w:szCs w:val="20"/>
              </w:rPr>
              <w:t xml:space="preserve"> » / </w:t>
            </w:r>
            <w:r>
              <w:rPr>
                <w:sz w:val="20"/>
                <w:szCs w:val="20"/>
              </w:rPr>
              <w:t>PC</w:t>
            </w:r>
            <w:r w:rsidRPr="00E93AC5">
              <w:rPr>
                <w:sz w:val="20"/>
                <w:szCs w:val="20"/>
              </w:rPr>
              <w:t xml:space="preserve"> avec boitier d’interface « RIP » et logiciel « </w:t>
            </w:r>
            <w:proofErr w:type="spellStart"/>
            <w:r w:rsidRPr="00E93AC5">
              <w:rPr>
                <w:sz w:val="20"/>
                <w:szCs w:val="20"/>
              </w:rPr>
              <w:t>Chameleon</w:t>
            </w:r>
            <w:proofErr w:type="spellEnd"/>
            <w:r w:rsidRPr="00E93AC5">
              <w:rPr>
                <w:sz w:val="20"/>
                <w:szCs w:val="20"/>
              </w:rPr>
              <w:t xml:space="preserve"> Editor » / boitier didactique de mesurage des signaux électriques</w:t>
            </w:r>
            <w:r>
              <w:rPr>
                <w:sz w:val="20"/>
                <w:szCs w:val="20"/>
              </w:rPr>
              <w:t>/mini guitare.</w:t>
            </w:r>
          </w:p>
        </w:tc>
        <w:tc>
          <w:tcPr>
            <w:tcW w:w="4323" w:type="dxa"/>
            <w:vMerge/>
            <w:shd w:val="clear" w:color="auto" w:fill="auto"/>
          </w:tcPr>
          <w:p w:rsidR="00850665" w:rsidRDefault="00850665" w:rsidP="00850665"/>
        </w:tc>
      </w:tr>
      <w:tr w:rsidR="00850665" w:rsidTr="00850665">
        <w:trPr>
          <w:cantSplit/>
          <w:trHeight w:val="724"/>
        </w:trPr>
        <w:tc>
          <w:tcPr>
            <w:tcW w:w="1188" w:type="dxa"/>
            <w:gridSpan w:val="2"/>
            <w:shd w:val="clear" w:color="auto" w:fill="C6D9F1" w:themeFill="text2" w:themeFillTint="33"/>
            <w:vAlign w:val="center"/>
          </w:tcPr>
          <w:p w:rsidR="00850665" w:rsidRPr="000A66BE" w:rsidRDefault="00850665" w:rsidP="00850665">
            <w:pPr>
              <w:jc w:val="center"/>
              <w:rPr>
                <w:b/>
              </w:rPr>
            </w:pPr>
            <w:r w:rsidRPr="000A66BE">
              <w:rPr>
                <w:b/>
              </w:rPr>
              <w:t>Approches</w:t>
            </w:r>
          </w:p>
        </w:tc>
        <w:tc>
          <w:tcPr>
            <w:tcW w:w="9655" w:type="dxa"/>
            <w:gridSpan w:val="4"/>
            <w:shd w:val="clear" w:color="auto" w:fill="auto"/>
          </w:tcPr>
          <w:p w:rsidR="00850665" w:rsidRDefault="00850665" w:rsidP="00850665">
            <w:r>
              <w:t xml:space="preserve">Produit : On dispose d’une guitare électrique standard avec un accordeur électronique classique et de la nouvelle Gibson </w:t>
            </w:r>
            <w:proofErr w:type="spellStart"/>
            <w:r>
              <w:t>Dusk</w:t>
            </w:r>
            <w:proofErr w:type="spellEnd"/>
            <w:r>
              <w:t xml:space="preserve"> </w:t>
            </w:r>
            <w:proofErr w:type="spellStart"/>
            <w:r>
              <w:t>Tiger</w:t>
            </w:r>
            <w:proofErr w:type="spellEnd"/>
            <w:r>
              <w:t xml:space="preserve"> avec le système « robot »</w:t>
            </w:r>
          </w:p>
        </w:tc>
        <w:tc>
          <w:tcPr>
            <w:tcW w:w="4323" w:type="dxa"/>
            <w:vMerge/>
            <w:shd w:val="clear" w:color="auto" w:fill="auto"/>
          </w:tcPr>
          <w:p w:rsidR="00850665" w:rsidRDefault="00850665" w:rsidP="00850665"/>
        </w:tc>
      </w:tr>
      <w:tr w:rsidR="00850665" w:rsidTr="00850665">
        <w:trPr>
          <w:cantSplit/>
          <w:trHeight w:val="249"/>
        </w:trPr>
        <w:tc>
          <w:tcPr>
            <w:tcW w:w="2764" w:type="dxa"/>
            <w:gridSpan w:val="3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C6D9F1" w:themeFill="text2" w:themeFillTint="33"/>
            <w:vAlign w:val="center"/>
          </w:tcPr>
          <w:p w:rsidR="00850665" w:rsidRDefault="00850665" w:rsidP="00850665"/>
        </w:tc>
        <w:tc>
          <w:tcPr>
            <w:tcW w:w="3969" w:type="dxa"/>
            <w:gridSpan w:val="2"/>
            <w:shd w:val="clear" w:color="auto" w:fill="C6D9F1" w:themeFill="text2" w:themeFillTint="33"/>
            <w:vAlign w:val="center"/>
          </w:tcPr>
          <w:p w:rsidR="00850665" w:rsidRDefault="00850665" w:rsidP="00850665">
            <w:pPr>
              <w:jc w:val="center"/>
            </w:pPr>
            <w:r>
              <w:t>Champ information (étude de cas 1)</w:t>
            </w:r>
          </w:p>
        </w:tc>
        <w:tc>
          <w:tcPr>
            <w:tcW w:w="4110" w:type="dxa"/>
            <w:shd w:val="clear" w:color="auto" w:fill="C6D9F1" w:themeFill="text2" w:themeFillTint="33"/>
            <w:vAlign w:val="center"/>
          </w:tcPr>
          <w:p w:rsidR="00850665" w:rsidRDefault="00850665" w:rsidP="00850665">
            <w:pPr>
              <w:jc w:val="center"/>
            </w:pPr>
            <w:r>
              <w:t>Champ matériau (étude de cas 2)</w:t>
            </w:r>
          </w:p>
        </w:tc>
        <w:tc>
          <w:tcPr>
            <w:tcW w:w="4323" w:type="dxa"/>
            <w:shd w:val="clear" w:color="auto" w:fill="C6D9F1" w:themeFill="text2" w:themeFillTint="33"/>
            <w:vAlign w:val="center"/>
          </w:tcPr>
          <w:p w:rsidR="00850665" w:rsidRDefault="00850665" w:rsidP="00850665">
            <w:pPr>
              <w:jc w:val="center"/>
            </w:pPr>
            <w:r>
              <w:t>Champ énergie (étude de cas 3)</w:t>
            </w:r>
          </w:p>
        </w:tc>
      </w:tr>
      <w:tr w:rsidR="00850665" w:rsidTr="00357B77">
        <w:trPr>
          <w:trHeight w:val="658"/>
        </w:trPr>
        <w:tc>
          <w:tcPr>
            <w:tcW w:w="779" w:type="dxa"/>
            <w:vMerge w:val="restart"/>
            <w:shd w:val="clear" w:color="auto" w:fill="C6D9F1" w:themeFill="text2" w:themeFillTint="33"/>
            <w:textDirection w:val="btLr"/>
            <w:vAlign w:val="center"/>
          </w:tcPr>
          <w:p w:rsidR="00850665" w:rsidRPr="000A66BE" w:rsidRDefault="00850665" w:rsidP="00850665">
            <w:pPr>
              <w:ind w:left="113" w:right="113"/>
              <w:jc w:val="center"/>
              <w:rPr>
                <w:b/>
              </w:rPr>
            </w:pPr>
            <w:r w:rsidRPr="000A66BE">
              <w:rPr>
                <w:b/>
              </w:rPr>
              <w:t>Principes proposés</w:t>
            </w:r>
          </w:p>
        </w:tc>
        <w:tc>
          <w:tcPr>
            <w:tcW w:w="1985" w:type="dxa"/>
            <w:gridSpan w:val="2"/>
            <w:shd w:val="clear" w:color="auto" w:fill="C6D9F1" w:themeFill="text2" w:themeFillTint="33"/>
            <w:vAlign w:val="center"/>
          </w:tcPr>
          <w:p w:rsidR="00850665" w:rsidRDefault="00850665" w:rsidP="00850665">
            <w:pPr>
              <w:jc w:val="center"/>
            </w:pPr>
            <w:r>
              <w:t>Technique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850665" w:rsidRDefault="00850665" w:rsidP="00357B77">
            <w:r>
              <w:t xml:space="preserve">Traitement numérique du signal, liaison série </w:t>
            </w:r>
            <w:proofErr w:type="spellStart"/>
            <w:r>
              <w:t>Fire</w:t>
            </w:r>
            <w:proofErr w:type="spellEnd"/>
            <w:r>
              <w:t xml:space="preserve"> </w:t>
            </w:r>
            <w:proofErr w:type="spellStart"/>
            <w:r>
              <w:t>Wire</w:t>
            </w:r>
            <w:proofErr w:type="spellEnd"/>
            <w:r>
              <w:t xml:space="preserve"> IEE 1394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50665" w:rsidRDefault="00850665" w:rsidP="00357B77">
            <w:r>
              <w:t xml:space="preserve">Propriété des matériaux utilisés pour le sillet : </w:t>
            </w:r>
            <w:proofErr w:type="spellStart"/>
            <w:r>
              <w:t>Corian</w:t>
            </w:r>
            <w:bookmarkStart w:id="0" w:name="OLE_LINK1"/>
            <w:bookmarkStart w:id="1" w:name="OLE_LINK2"/>
            <w:proofErr w:type="spellEnd"/>
            <w:r>
              <w:rPr>
                <w:rStyle w:val="longtext"/>
                <w:rFonts w:ascii="Arial" w:hAnsi="Arial" w:cs="Arial"/>
                <w:color w:val="000000"/>
                <w:shd w:val="clear" w:color="auto" w:fill="FFFFFF"/>
              </w:rPr>
              <w:t>®</w:t>
            </w:r>
            <w:bookmarkEnd w:id="0"/>
            <w:bookmarkEnd w:id="1"/>
            <w:r>
              <w:rPr>
                <w:rStyle w:val="longtext"/>
                <w:rFonts w:ascii="Arial" w:hAnsi="Arial" w:cs="Arial"/>
                <w:color w:val="000000"/>
                <w:shd w:val="clear" w:color="auto" w:fill="FFFFFF"/>
              </w:rPr>
              <w:t xml:space="preserve"> et </w:t>
            </w:r>
            <w:proofErr w:type="spellStart"/>
            <w:r>
              <w:t>Tefzel</w:t>
            </w:r>
            <w:proofErr w:type="spellEnd"/>
            <w:r>
              <w:rPr>
                <w:rStyle w:val="longtext"/>
                <w:rFonts w:ascii="Arial" w:hAnsi="Arial" w:cs="Arial"/>
                <w:color w:val="000000"/>
                <w:shd w:val="clear" w:color="auto" w:fill="FFFFFF"/>
              </w:rPr>
              <w:t>®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850665" w:rsidRDefault="00850665" w:rsidP="00850665">
            <w:pPr>
              <w:ind w:left="113" w:right="113"/>
            </w:pPr>
            <w:r>
              <w:t>Moteur pas à pas</w:t>
            </w:r>
          </w:p>
        </w:tc>
      </w:tr>
      <w:tr w:rsidR="00850665" w:rsidTr="00850665">
        <w:trPr>
          <w:trHeight w:val="953"/>
        </w:trPr>
        <w:tc>
          <w:tcPr>
            <w:tcW w:w="779" w:type="dxa"/>
            <w:vMerge/>
            <w:shd w:val="clear" w:color="auto" w:fill="C6D9F1" w:themeFill="text2" w:themeFillTint="33"/>
          </w:tcPr>
          <w:p w:rsidR="00850665" w:rsidRDefault="00850665" w:rsidP="00850665"/>
        </w:tc>
        <w:tc>
          <w:tcPr>
            <w:tcW w:w="1985" w:type="dxa"/>
            <w:gridSpan w:val="2"/>
            <w:shd w:val="clear" w:color="auto" w:fill="C6D9F1" w:themeFill="text2" w:themeFillTint="33"/>
            <w:vAlign w:val="center"/>
          </w:tcPr>
          <w:p w:rsidR="00850665" w:rsidRDefault="00850665" w:rsidP="00850665">
            <w:pPr>
              <w:jc w:val="center"/>
            </w:pPr>
            <w:r>
              <w:t>Scientifiques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850665" w:rsidRDefault="00850665" w:rsidP="00850665">
            <w:pPr>
              <w:jc w:val="center"/>
            </w:pPr>
            <w:r>
              <w:t>Conversion Analogique - Numérique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50665" w:rsidRDefault="00850665" w:rsidP="00850665">
            <w:pPr>
              <w:jc w:val="center"/>
            </w:pPr>
            <w:r>
              <w:t>Frottement (loi de coulomb)</w:t>
            </w:r>
          </w:p>
        </w:tc>
        <w:tc>
          <w:tcPr>
            <w:tcW w:w="4323" w:type="dxa"/>
            <w:shd w:val="clear" w:color="auto" w:fill="auto"/>
          </w:tcPr>
          <w:p w:rsidR="00850665" w:rsidRDefault="00850665" w:rsidP="00850665">
            <w:pPr>
              <w:ind w:left="113" w:right="113"/>
            </w:pPr>
            <w:r>
              <w:t>principe de l’action d’un champ magnétique créé par un courant électrique sur un aimant</w:t>
            </w:r>
          </w:p>
        </w:tc>
      </w:tr>
      <w:tr w:rsidR="00850665" w:rsidTr="00850665">
        <w:trPr>
          <w:trHeight w:val="592"/>
        </w:trPr>
        <w:tc>
          <w:tcPr>
            <w:tcW w:w="779" w:type="dxa"/>
            <w:vMerge/>
            <w:shd w:val="clear" w:color="auto" w:fill="C6D9F1" w:themeFill="text2" w:themeFillTint="33"/>
          </w:tcPr>
          <w:p w:rsidR="00850665" w:rsidRDefault="00850665" w:rsidP="00850665"/>
        </w:tc>
        <w:tc>
          <w:tcPr>
            <w:tcW w:w="1985" w:type="dxa"/>
            <w:gridSpan w:val="2"/>
            <w:shd w:val="clear" w:color="auto" w:fill="C6D9F1" w:themeFill="text2" w:themeFillTint="33"/>
            <w:vAlign w:val="center"/>
          </w:tcPr>
          <w:p w:rsidR="00850665" w:rsidRDefault="00850665" w:rsidP="00850665">
            <w:pPr>
              <w:jc w:val="center"/>
            </w:pPr>
            <w:r>
              <w:t>Principes d’innovation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850665" w:rsidRDefault="00850665" w:rsidP="00850665">
            <w:pPr>
              <w:jc w:val="center"/>
            </w:pPr>
            <w:r>
              <w:t>25 : Self service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50665" w:rsidRDefault="00850665" w:rsidP="00850665">
            <w:pPr>
              <w:jc w:val="center"/>
            </w:pPr>
            <w:r>
              <w:t>40 : Matériaux composites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850665" w:rsidRDefault="00850665" w:rsidP="00850665">
            <w:r>
              <w:t>35 : Modification de paramètre</w:t>
            </w:r>
          </w:p>
        </w:tc>
      </w:tr>
      <w:tr w:rsidR="00850665" w:rsidTr="00850665">
        <w:trPr>
          <w:trHeight w:val="1548"/>
        </w:trPr>
        <w:tc>
          <w:tcPr>
            <w:tcW w:w="779" w:type="dxa"/>
            <w:vMerge/>
            <w:shd w:val="clear" w:color="auto" w:fill="C6D9F1" w:themeFill="text2" w:themeFillTint="33"/>
          </w:tcPr>
          <w:p w:rsidR="00850665" w:rsidRDefault="00850665" w:rsidP="00850665"/>
        </w:tc>
        <w:tc>
          <w:tcPr>
            <w:tcW w:w="1985" w:type="dxa"/>
            <w:gridSpan w:val="2"/>
            <w:shd w:val="clear" w:color="auto" w:fill="C6D9F1" w:themeFill="text2" w:themeFillTint="33"/>
            <w:vAlign w:val="center"/>
          </w:tcPr>
          <w:p w:rsidR="00850665" w:rsidRDefault="00850665" w:rsidP="00850665">
            <w:pPr>
              <w:jc w:val="center"/>
            </w:pPr>
            <w:r>
              <w:t>Lois d’évolution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850665" w:rsidRDefault="00850665" w:rsidP="00850665">
            <w:pPr>
              <w:jc w:val="center"/>
            </w:pPr>
            <w:r>
              <w:t>Non traitées dans l’activité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50665" w:rsidRDefault="00850665" w:rsidP="00850665">
            <w:pPr>
              <w:jc w:val="center"/>
            </w:pPr>
            <w:r>
              <w:t>Non traitées dans l’activité</w:t>
            </w:r>
          </w:p>
        </w:tc>
        <w:tc>
          <w:tcPr>
            <w:tcW w:w="4323" w:type="dxa"/>
            <w:shd w:val="clear" w:color="auto" w:fill="auto"/>
          </w:tcPr>
          <w:p w:rsidR="00850665" w:rsidRDefault="00850665" w:rsidP="00850665">
            <w:r>
              <w:t xml:space="preserve">1, 2 et 3 : Intégralité, conductibilité de l’énergie et coordination du système       </w:t>
            </w:r>
          </w:p>
          <w:p w:rsidR="00850665" w:rsidRDefault="00850665" w:rsidP="00850665">
            <w:r>
              <w:t>4 : Accroissement de l’idéal et augmentation du niveau de performance de la guitare</w:t>
            </w:r>
          </w:p>
        </w:tc>
      </w:tr>
      <w:tr w:rsidR="00850665" w:rsidTr="00850665">
        <w:trPr>
          <w:trHeight w:val="622"/>
        </w:trPr>
        <w:tc>
          <w:tcPr>
            <w:tcW w:w="2764" w:type="dxa"/>
            <w:gridSpan w:val="3"/>
            <w:shd w:val="clear" w:color="auto" w:fill="C6D9F1" w:themeFill="text2" w:themeFillTint="33"/>
          </w:tcPr>
          <w:p w:rsidR="00850665" w:rsidRPr="000A66BE" w:rsidRDefault="00850665" w:rsidP="008506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Brevets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850665" w:rsidRDefault="00850665" w:rsidP="00850665">
            <w:pPr>
              <w:jc w:val="center"/>
            </w:pPr>
            <w:r w:rsidRPr="009C428C">
              <w:rPr>
                <w:lang w:val="en-US"/>
              </w:rPr>
              <w:t>N°</w:t>
            </w:r>
            <w:r>
              <w:rPr>
                <w:lang w:val="en-US"/>
              </w:rPr>
              <w:t>EP</w:t>
            </w:r>
            <w:r w:rsidRPr="009C428C">
              <w:rPr>
                <w:lang w:val="en-US"/>
              </w:rPr>
              <w:t xml:space="preserve">0319022 et </w:t>
            </w:r>
            <w:r w:rsidRPr="000B6692">
              <w:rPr>
                <w:lang w:val="en-US"/>
              </w:rPr>
              <w:t>US20080282869A1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850665" w:rsidRDefault="00850665" w:rsidP="00850665">
            <w:pPr>
              <w:jc w:val="center"/>
            </w:pPr>
            <w:r>
              <w:t>N° EP2196987A1</w:t>
            </w:r>
          </w:p>
        </w:tc>
        <w:tc>
          <w:tcPr>
            <w:tcW w:w="4323" w:type="dxa"/>
            <w:shd w:val="clear" w:color="auto" w:fill="auto"/>
            <w:vAlign w:val="center"/>
          </w:tcPr>
          <w:p w:rsidR="00850665" w:rsidRDefault="00850665" w:rsidP="00850665">
            <w:pPr>
              <w:jc w:val="center"/>
            </w:pPr>
            <w:r w:rsidRPr="000B6692">
              <w:rPr>
                <w:lang w:val="en-US"/>
              </w:rPr>
              <w:t>N°</w:t>
            </w:r>
            <w:r>
              <w:rPr>
                <w:lang w:val="en-US"/>
              </w:rPr>
              <w:t>EP</w:t>
            </w:r>
            <w:r w:rsidRPr="000B6692">
              <w:rPr>
                <w:lang w:val="en-US"/>
              </w:rPr>
              <w:t xml:space="preserve">0319022 </w:t>
            </w:r>
            <w:r>
              <w:rPr>
                <w:lang w:val="en-US"/>
              </w:rPr>
              <w:t xml:space="preserve"> </w:t>
            </w:r>
            <w:r w:rsidRPr="000B6692">
              <w:rPr>
                <w:lang w:val="en-US"/>
              </w:rPr>
              <w:t xml:space="preserve">et </w:t>
            </w:r>
            <w:r>
              <w:rPr>
                <w:lang w:val="en-US"/>
              </w:rPr>
              <w:t xml:space="preserve"> </w:t>
            </w:r>
            <w:r w:rsidRPr="000B6692">
              <w:rPr>
                <w:lang w:val="en-US"/>
              </w:rPr>
              <w:t>US20080282869A1</w:t>
            </w:r>
          </w:p>
        </w:tc>
      </w:tr>
    </w:tbl>
    <w:p w:rsidR="00A1241D" w:rsidRPr="00850665" w:rsidRDefault="00857CB6" w:rsidP="00857CB6">
      <w:pPr>
        <w:rPr>
          <w:b/>
          <w:sz w:val="32"/>
          <w:szCs w:val="32"/>
        </w:rPr>
      </w:pPr>
      <w:r w:rsidRPr="00857CB6">
        <w:rPr>
          <w:i/>
          <w:sz w:val="20"/>
          <w:szCs w:val="20"/>
        </w:rPr>
        <w:t>P</w:t>
      </w:r>
      <w:r>
        <w:rPr>
          <w:i/>
          <w:sz w:val="20"/>
          <w:szCs w:val="20"/>
        </w:rPr>
        <w:t>.C.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="00245471">
        <w:rPr>
          <w:b/>
          <w:sz w:val="32"/>
          <w:szCs w:val="32"/>
        </w:rPr>
        <w:t>LYCEE GUSTAVE EIFFEL ARMENTIERES</w:t>
      </w:r>
    </w:p>
    <w:sectPr w:rsidR="00A1241D" w:rsidRPr="00850665" w:rsidSect="00245471">
      <w:headerReference w:type="default" r:id="rId10"/>
      <w:pgSz w:w="16838" w:h="11906" w:orient="landscape"/>
      <w:pgMar w:top="68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DEC" w:rsidRDefault="001F3DEC" w:rsidP="000E06FD">
      <w:pPr>
        <w:spacing w:after="0" w:line="240" w:lineRule="auto"/>
      </w:pPr>
      <w:r>
        <w:separator/>
      </w:r>
    </w:p>
  </w:endnote>
  <w:endnote w:type="continuationSeparator" w:id="0">
    <w:p w:rsidR="001F3DEC" w:rsidRDefault="001F3DEC" w:rsidP="000E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DEC" w:rsidRDefault="001F3DEC" w:rsidP="000E06FD">
      <w:pPr>
        <w:spacing w:after="0" w:line="240" w:lineRule="auto"/>
      </w:pPr>
      <w:r>
        <w:separator/>
      </w:r>
    </w:p>
  </w:footnote>
  <w:footnote w:type="continuationSeparator" w:id="0">
    <w:p w:rsidR="001F3DEC" w:rsidRDefault="001F3DEC" w:rsidP="000E0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7B9" w:rsidRPr="00850665" w:rsidRDefault="00B847B9" w:rsidP="00B847B9">
    <w:pPr>
      <w:jc w:val="center"/>
      <w:rPr>
        <w:b/>
        <w:sz w:val="32"/>
        <w:szCs w:val="32"/>
      </w:rPr>
    </w:pPr>
    <w:r w:rsidRPr="00850665">
      <w:rPr>
        <w:b/>
        <w:sz w:val="32"/>
        <w:szCs w:val="32"/>
      </w:rPr>
      <w:t>ACTIVITES CIT PROPOSEES  SUR LA GUITARE GIBSON</w:t>
    </w:r>
  </w:p>
  <w:p w:rsidR="00B847B9" w:rsidRDefault="00B847B9">
    <w:pPr>
      <w:pStyle w:val="En-tte"/>
    </w:pPr>
  </w:p>
  <w:p w:rsidR="00B847B9" w:rsidRDefault="00B847B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A1855"/>
    <w:multiLevelType w:val="hybridMultilevel"/>
    <w:tmpl w:val="E2B03D0A"/>
    <w:lvl w:ilvl="0" w:tplc="06F899EE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12E"/>
    <w:rsid w:val="000069CD"/>
    <w:rsid w:val="0001253D"/>
    <w:rsid w:val="00021206"/>
    <w:rsid w:val="000260A7"/>
    <w:rsid w:val="00030ECD"/>
    <w:rsid w:val="000316B6"/>
    <w:rsid w:val="000358E8"/>
    <w:rsid w:val="00036B62"/>
    <w:rsid w:val="00045B0B"/>
    <w:rsid w:val="00047083"/>
    <w:rsid w:val="0004799C"/>
    <w:rsid w:val="00055AE6"/>
    <w:rsid w:val="00062816"/>
    <w:rsid w:val="00065F71"/>
    <w:rsid w:val="00066A83"/>
    <w:rsid w:val="000740D1"/>
    <w:rsid w:val="00081099"/>
    <w:rsid w:val="00083A8E"/>
    <w:rsid w:val="00085FFD"/>
    <w:rsid w:val="00092D77"/>
    <w:rsid w:val="000933D3"/>
    <w:rsid w:val="000A65A3"/>
    <w:rsid w:val="000A66BE"/>
    <w:rsid w:val="000A78DA"/>
    <w:rsid w:val="000B0F6B"/>
    <w:rsid w:val="000B4386"/>
    <w:rsid w:val="000B6692"/>
    <w:rsid w:val="000D0DC1"/>
    <w:rsid w:val="000D10AF"/>
    <w:rsid w:val="000D4FC0"/>
    <w:rsid w:val="000E06FD"/>
    <w:rsid w:val="000E60CA"/>
    <w:rsid w:val="000F1D13"/>
    <w:rsid w:val="000F6759"/>
    <w:rsid w:val="001023ED"/>
    <w:rsid w:val="00103BDC"/>
    <w:rsid w:val="001113E5"/>
    <w:rsid w:val="00111878"/>
    <w:rsid w:val="00111F4E"/>
    <w:rsid w:val="001120F5"/>
    <w:rsid w:val="00112CE8"/>
    <w:rsid w:val="001152B1"/>
    <w:rsid w:val="00115F33"/>
    <w:rsid w:val="00127170"/>
    <w:rsid w:val="001410ED"/>
    <w:rsid w:val="00150017"/>
    <w:rsid w:val="001500FE"/>
    <w:rsid w:val="00157783"/>
    <w:rsid w:val="001611FD"/>
    <w:rsid w:val="001648A5"/>
    <w:rsid w:val="00165C85"/>
    <w:rsid w:val="00167D8D"/>
    <w:rsid w:val="00182C1B"/>
    <w:rsid w:val="00190626"/>
    <w:rsid w:val="001A4843"/>
    <w:rsid w:val="001B0D78"/>
    <w:rsid w:val="001B29E5"/>
    <w:rsid w:val="001B7EC2"/>
    <w:rsid w:val="001C116B"/>
    <w:rsid w:val="001D25BB"/>
    <w:rsid w:val="001E57D3"/>
    <w:rsid w:val="001F0453"/>
    <w:rsid w:val="001F3DEC"/>
    <w:rsid w:val="001F5490"/>
    <w:rsid w:val="001F6E44"/>
    <w:rsid w:val="001F7AF1"/>
    <w:rsid w:val="00202B12"/>
    <w:rsid w:val="00204420"/>
    <w:rsid w:val="002065B6"/>
    <w:rsid w:val="00216CF9"/>
    <w:rsid w:val="00221904"/>
    <w:rsid w:val="00223376"/>
    <w:rsid w:val="00227918"/>
    <w:rsid w:val="00237E9E"/>
    <w:rsid w:val="00245471"/>
    <w:rsid w:val="002515CC"/>
    <w:rsid w:val="0025627E"/>
    <w:rsid w:val="00257691"/>
    <w:rsid w:val="0026266D"/>
    <w:rsid w:val="00267735"/>
    <w:rsid w:val="00267ABA"/>
    <w:rsid w:val="00270491"/>
    <w:rsid w:val="002838FC"/>
    <w:rsid w:val="00287F15"/>
    <w:rsid w:val="00290312"/>
    <w:rsid w:val="00292ABE"/>
    <w:rsid w:val="00296229"/>
    <w:rsid w:val="002B1FC7"/>
    <w:rsid w:val="002B6972"/>
    <w:rsid w:val="002C04E4"/>
    <w:rsid w:val="002C0626"/>
    <w:rsid w:val="002C0DDF"/>
    <w:rsid w:val="002C0EAF"/>
    <w:rsid w:val="002C1FC2"/>
    <w:rsid w:val="002C21AE"/>
    <w:rsid w:val="002C3472"/>
    <w:rsid w:val="002C69DE"/>
    <w:rsid w:val="002D6ED7"/>
    <w:rsid w:val="002E61A9"/>
    <w:rsid w:val="002F0828"/>
    <w:rsid w:val="002F2482"/>
    <w:rsid w:val="002F3263"/>
    <w:rsid w:val="002F3E49"/>
    <w:rsid w:val="002F4712"/>
    <w:rsid w:val="002F7963"/>
    <w:rsid w:val="00320CA2"/>
    <w:rsid w:val="00330028"/>
    <w:rsid w:val="00335D8C"/>
    <w:rsid w:val="00336F55"/>
    <w:rsid w:val="00344354"/>
    <w:rsid w:val="003479FE"/>
    <w:rsid w:val="00355963"/>
    <w:rsid w:val="00357B77"/>
    <w:rsid w:val="00374360"/>
    <w:rsid w:val="00377F20"/>
    <w:rsid w:val="0038386E"/>
    <w:rsid w:val="00395200"/>
    <w:rsid w:val="00395FC9"/>
    <w:rsid w:val="003A0E5E"/>
    <w:rsid w:val="003A27EA"/>
    <w:rsid w:val="003A4BD7"/>
    <w:rsid w:val="003A58B0"/>
    <w:rsid w:val="003A65D1"/>
    <w:rsid w:val="003A7DC8"/>
    <w:rsid w:val="003B70FF"/>
    <w:rsid w:val="003C0B3A"/>
    <w:rsid w:val="003C211D"/>
    <w:rsid w:val="003C380B"/>
    <w:rsid w:val="003C76FE"/>
    <w:rsid w:val="003C7C56"/>
    <w:rsid w:val="003D4F4E"/>
    <w:rsid w:val="003E239B"/>
    <w:rsid w:val="003E2E11"/>
    <w:rsid w:val="003E7212"/>
    <w:rsid w:val="003F3B00"/>
    <w:rsid w:val="003F4E57"/>
    <w:rsid w:val="003F6E54"/>
    <w:rsid w:val="00404D9E"/>
    <w:rsid w:val="00407C4B"/>
    <w:rsid w:val="00412294"/>
    <w:rsid w:val="00412F30"/>
    <w:rsid w:val="0042439F"/>
    <w:rsid w:val="00430615"/>
    <w:rsid w:val="00433E6C"/>
    <w:rsid w:val="0044686C"/>
    <w:rsid w:val="00454349"/>
    <w:rsid w:val="00460182"/>
    <w:rsid w:val="004615C7"/>
    <w:rsid w:val="00466F0C"/>
    <w:rsid w:val="00477271"/>
    <w:rsid w:val="004772A1"/>
    <w:rsid w:val="00481020"/>
    <w:rsid w:val="00481230"/>
    <w:rsid w:val="0048278A"/>
    <w:rsid w:val="00494ED0"/>
    <w:rsid w:val="004A1277"/>
    <w:rsid w:val="004A1BD7"/>
    <w:rsid w:val="004A20D0"/>
    <w:rsid w:val="004B0634"/>
    <w:rsid w:val="004B0B30"/>
    <w:rsid w:val="004B0F29"/>
    <w:rsid w:val="004B60B2"/>
    <w:rsid w:val="004B69DA"/>
    <w:rsid w:val="004C1C17"/>
    <w:rsid w:val="004C4B2D"/>
    <w:rsid w:val="004D2B98"/>
    <w:rsid w:val="004D4F10"/>
    <w:rsid w:val="004E33AF"/>
    <w:rsid w:val="004E7644"/>
    <w:rsid w:val="004F2CC3"/>
    <w:rsid w:val="004F54DF"/>
    <w:rsid w:val="00502AE7"/>
    <w:rsid w:val="0051194F"/>
    <w:rsid w:val="00515109"/>
    <w:rsid w:val="005214A8"/>
    <w:rsid w:val="00527A72"/>
    <w:rsid w:val="00531473"/>
    <w:rsid w:val="005327FA"/>
    <w:rsid w:val="00535ABB"/>
    <w:rsid w:val="00541934"/>
    <w:rsid w:val="00542C3B"/>
    <w:rsid w:val="005445B7"/>
    <w:rsid w:val="00552DC2"/>
    <w:rsid w:val="00553060"/>
    <w:rsid w:val="00560BCA"/>
    <w:rsid w:val="00560F05"/>
    <w:rsid w:val="005646AA"/>
    <w:rsid w:val="0056578D"/>
    <w:rsid w:val="00572C71"/>
    <w:rsid w:val="00576D1E"/>
    <w:rsid w:val="00582284"/>
    <w:rsid w:val="0058469D"/>
    <w:rsid w:val="00590575"/>
    <w:rsid w:val="005A3863"/>
    <w:rsid w:val="005A5C87"/>
    <w:rsid w:val="005B000A"/>
    <w:rsid w:val="005B2F0B"/>
    <w:rsid w:val="005B5ACD"/>
    <w:rsid w:val="005B5F9B"/>
    <w:rsid w:val="005D258B"/>
    <w:rsid w:val="005D4CBF"/>
    <w:rsid w:val="005E40ED"/>
    <w:rsid w:val="005E5503"/>
    <w:rsid w:val="00636B9D"/>
    <w:rsid w:val="00650F5D"/>
    <w:rsid w:val="00654DBB"/>
    <w:rsid w:val="00654EE7"/>
    <w:rsid w:val="00671DC5"/>
    <w:rsid w:val="006747FB"/>
    <w:rsid w:val="00675E8D"/>
    <w:rsid w:val="0067683C"/>
    <w:rsid w:val="006809F2"/>
    <w:rsid w:val="0069754C"/>
    <w:rsid w:val="006B2DD7"/>
    <w:rsid w:val="006C1C25"/>
    <w:rsid w:val="006C25A4"/>
    <w:rsid w:val="006C56FD"/>
    <w:rsid w:val="006C5AE3"/>
    <w:rsid w:val="006C7E0E"/>
    <w:rsid w:val="006D1920"/>
    <w:rsid w:val="006D3303"/>
    <w:rsid w:val="006F12A1"/>
    <w:rsid w:val="006F30C2"/>
    <w:rsid w:val="006F7AD7"/>
    <w:rsid w:val="007039A5"/>
    <w:rsid w:val="00705E72"/>
    <w:rsid w:val="007103FB"/>
    <w:rsid w:val="00710957"/>
    <w:rsid w:val="007119CF"/>
    <w:rsid w:val="00712646"/>
    <w:rsid w:val="00714E73"/>
    <w:rsid w:val="00714F9A"/>
    <w:rsid w:val="00726CE1"/>
    <w:rsid w:val="007336F4"/>
    <w:rsid w:val="007344DD"/>
    <w:rsid w:val="00736A64"/>
    <w:rsid w:val="0074690A"/>
    <w:rsid w:val="00747B34"/>
    <w:rsid w:val="0077101F"/>
    <w:rsid w:val="00771397"/>
    <w:rsid w:val="007804A1"/>
    <w:rsid w:val="00783BB2"/>
    <w:rsid w:val="007842D6"/>
    <w:rsid w:val="00786B02"/>
    <w:rsid w:val="00795254"/>
    <w:rsid w:val="00797BC8"/>
    <w:rsid w:val="007A0DCD"/>
    <w:rsid w:val="007B1A54"/>
    <w:rsid w:val="007B55F4"/>
    <w:rsid w:val="007C212E"/>
    <w:rsid w:val="007C4F05"/>
    <w:rsid w:val="007C504F"/>
    <w:rsid w:val="007C524F"/>
    <w:rsid w:val="007D4E03"/>
    <w:rsid w:val="007E0EF5"/>
    <w:rsid w:val="007E66D2"/>
    <w:rsid w:val="00802863"/>
    <w:rsid w:val="00805090"/>
    <w:rsid w:val="00806E04"/>
    <w:rsid w:val="00807CBC"/>
    <w:rsid w:val="00807CEC"/>
    <w:rsid w:val="00815CD0"/>
    <w:rsid w:val="00830780"/>
    <w:rsid w:val="00835D59"/>
    <w:rsid w:val="00837684"/>
    <w:rsid w:val="00843AD9"/>
    <w:rsid w:val="00843FD4"/>
    <w:rsid w:val="0084759D"/>
    <w:rsid w:val="00850665"/>
    <w:rsid w:val="008536A5"/>
    <w:rsid w:val="008538FE"/>
    <w:rsid w:val="00855243"/>
    <w:rsid w:val="00857CB6"/>
    <w:rsid w:val="00860C44"/>
    <w:rsid w:val="00861A59"/>
    <w:rsid w:val="008672AA"/>
    <w:rsid w:val="008674F3"/>
    <w:rsid w:val="00871615"/>
    <w:rsid w:val="008764C1"/>
    <w:rsid w:val="00884763"/>
    <w:rsid w:val="0089738F"/>
    <w:rsid w:val="008A1CA5"/>
    <w:rsid w:val="008A4734"/>
    <w:rsid w:val="008B2AFA"/>
    <w:rsid w:val="008B642E"/>
    <w:rsid w:val="008D251E"/>
    <w:rsid w:val="008D2D1C"/>
    <w:rsid w:val="008E059E"/>
    <w:rsid w:val="008F107C"/>
    <w:rsid w:val="009002F7"/>
    <w:rsid w:val="009036E5"/>
    <w:rsid w:val="00907561"/>
    <w:rsid w:val="00920983"/>
    <w:rsid w:val="0092126C"/>
    <w:rsid w:val="00923C22"/>
    <w:rsid w:val="009332B2"/>
    <w:rsid w:val="0094690A"/>
    <w:rsid w:val="00960D65"/>
    <w:rsid w:val="00970AAD"/>
    <w:rsid w:val="00971023"/>
    <w:rsid w:val="00971988"/>
    <w:rsid w:val="00972241"/>
    <w:rsid w:val="009775B2"/>
    <w:rsid w:val="00980AAC"/>
    <w:rsid w:val="00996228"/>
    <w:rsid w:val="009970BE"/>
    <w:rsid w:val="009B2348"/>
    <w:rsid w:val="009B5042"/>
    <w:rsid w:val="009B5574"/>
    <w:rsid w:val="009C00C9"/>
    <w:rsid w:val="009C1DD5"/>
    <w:rsid w:val="009C2FF8"/>
    <w:rsid w:val="009C6D60"/>
    <w:rsid w:val="009C791F"/>
    <w:rsid w:val="009D35A0"/>
    <w:rsid w:val="009E022B"/>
    <w:rsid w:val="009E2257"/>
    <w:rsid w:val="009E626A"/>
    <w:rsid w:val="009F2330"/>
    <w:rsid w:val="009F5C95"/>
    <w:rsid w:val="00A0074C"/>
    <w:rsid w:val="00A10731"/>
    <w:rsid w:val="00A1241D"/>
    <w:rsid w:val="00A13B45"/>
    <w:rsid w:val="00A16B34"/>
    <w:rsid w:val="00A235B6"/>
    <w:rsid w:val="00A34F38"/>
    <w:rsid w:val="00A40975"/>
    <w:rsid w:val="00A40E70"/>
    <w:rsid w:val="00A42FBA"/>
    <w:rsid w:val="00A44B08"/>
    <w:rsid w:val="00A5036E"/>
    <w:rsid w:val="00A57DBF"/>
    <w:rsid w:val="00A602F3"/>
    <w:rsid w:val="00A64462"/>
    <w:rsid w:val="00A71D88"/>
    <w:rsid w:val="00A764D5"/>
    <w:rsid w:val="00A765CC"/>
    <w:rsid w:val="00A80C59"/>
    <w:rsid w:val="00A82CA3"/>
    <w:rsid w:val="00A85BA5"/>
    <w:rsid w:val="00A87429"/>
    <w:rsid w:val="00A8750C"/>
    <w:rsid w:val="00A87800"/>
    <w:rsid w:val="00A91827"/>
    <w:rsid w:val="00A94C76"/>
    <w:rsid w:val="00A97F60"/>
    <w:rsid w:val="00AA42F4"/>
    <w:rsid w:val="00AB1049"/>
    <w:rsid w:val="00AB16C5"/>
    <w:rsid w:val="00AC032F"/>
    <w:rsid w:val="00AC76C8"/>
    <w:rsid w:val="00AD22D0"/>
    <w:rsid w:val="00AD4862"/>
    <w:rsid w:val="00AD5EAA"/>
    <w:rsid w:val="00AD667E"/>
    <w:rsid w:val="00AE2241"/>
    <w:rsid w:val="00AE3F3C"/>
    <w:rsid w:val="00AE54DB"/>
    <w:rsid w:val="00AE5B61"/>
    <w:rsid w:val="00AF24E9"/>
    <w:rsid w:val="00AF649A"/>
    <w:rsid w:val="00B020D3"/>
    <w:rsid w:val="00B04F6B"/>
    <w:rsid w:val="00B05D2D"/>
    <w:rsid w:val="00B20EB7"/>
    <w:rsid w:val="00B24015"/>
    <w:rsid w:val="00B35082"/>
    <w:rsid w:val="00B368C5"/>
    <w:rsid w:val="00B41356"/>
    <w:rsid w:val="00B419E1"/>
    <w:rsid w:val="00B47CCF"/>
    <w:rsid w:val="00B52F08"/>
    <w:rsid w:val="00B5456C"/>
    <w:rsid w:val="00B606F0"/>
    <w:rsid w:val="00B61A53"/>
    <w:rsid w:val="00B629E3"/>
    <w:rsid w:val="00B64A12"/>
    <w:rsid w:val="00B669BC"/>
    <w:rsid w:val="00B70309"/>
    <w:rsid w:val="00B716AC"/>
    <w:rsid w:val="00B72648"/>
    <w:rsid w:val="00B847B9"/>
    <w:rsid w:val="00B859A7"/>
    <w:rsid w:val="00B96626"/>
    <w:rsid w:val="00BA2955"/>
    <w:rsid w:val="00BA68EF"/>
    <w:rsid w:val="00BB6601"/>
    <w:rsid w:val="00BC0C5E"/>
    <w:rsid w:val="00BC118D"/>
    <w:rsid w:val="00BC7889"/>
    <w:rsid w:val="00BF38D4"/>
    <w:rsid w:val="00BF3F37"/>
    <w:rsid w:val="00C0070B"/>
    <w:rsid w:val="00C00912"/>
    <w:rsid w:val="00C10936"/>
    <w:rsid w:val="00C14C3F"/>
    <w:rsid w:val="00C17C87"/>
    <w:rsid w:val="00C21D51"/>
    <w:rsid w:val="00C31DFD"/>
    <w:rsid w:val="00C472E2"/>
    <w:rsid w:val="00C479EA"/>
    <w:rsid w:val="00C53FC1"/>
    <w:rsid w:val="00C54F7E"/>
    <w:rsid w:val="00C575FC"/>
    <w:rsid w:val="00C61BA9"/>
    <w:rsid w:val="00C63D52"/>
    <w:rsid w:val="00C64F6D"/>
    <w:rsid w:val="00C84351"/>
    <w:rsid w:val="00C90BED"/>
    <w:rsid w:val="00C96354"/>
    <w:rsid w:val="00CA2A5B"/>
    <w:rsid w:val="00CB0E67"/>
    <w:rsid w:val="00CC053F"/>
    <w:rsid w:val="00CC0E98"/>
    <w:rsid w:val="00CD24D0"/>
    <w:rsid w:val="00CE25BE"/>
    <w:rsid w:val="00CE4913"/>
    <w:rsid w:val="00CE6EE5"/>
    <w:rsid w:val="00CF13C3"/>
    <w:rsid w:val="00CF2D44"/>
    <w:rsid w:val="00CF3989"/>
    <w:rsid w:val="00D0480C"/>
    <w:rsid w:val="00D0693A"/>
    <w:rsid w:val="00D360A7"/>
    <w:rsid w:val="00D41C57"/>
    <w:rsid w:val="00D517F3"/>
    <w:rsid w:val="00D5320A"/>
    <w:rsid w:val="00D543D5"/>
    <w:rsid w:val="00D6178E"/>
    <w:rsid w:val="00D64D55"/>
    <w:rsid w:val="00D80C32"/>
    <w:rsid w:val="00D90A39"/>
    <w:rsid w:val="00D91CD2"/>
    <w:rsid w:val="00D96692"/>
    <w:rsid w:val="00DA0F17"/>
    <w:rsid w:val="00DA7B9D"/>
    <w:rsid w:val="00DB7B95"/>
    <w:rsid w:val="00DC3DEA"/>
    <w:rsid w:val="00DC415A"/>
    <w:rsid w:val="00DC5999"/>
    <w:rsid w:val="00DE07C9"/>
    <w:rsid w:val="00DE1FBD"/>
    <w:rsid w:val="00E03407"/>
    <w:rsid w:val="00E1102F"/>
    <w:rsid w:val="00E11632"/>
    <w:rsid w:val="00E17F5C"/>
    <w:rsid w:val="00E34005"/>
    <w:rsid w:val="00E367D6"/>
    <w:rsid w:val="00E42A09"/>
    <w:rsid w:val="00E54FC1"/>
    <w:rsid w:val="00E619B3"/>
    <w:rsid w:val="00E74CF3"/>
    <w:rsid w:val="00E76293"/>
    <w:rsid w:val="00E76C5E"/>
    <w:rsid w:val="00E854B4"/>
    <w:rsid w:val="00E93AC5"/>
    <w:rsid w:val="00E95537"/>
    <w:rsid w:val="00E979A3"/>
    <w:rsid w:val="00EA00B1"/>
    <w:rsid w:val="00EA0732"/>
    <w:rsid w:val="00EA43D1"/>
    <w:rsid w:val="00EA54E3"/>
    <w:rsid w:val="00EA5540"/>
    <w:rsid w:val="00EA63B2"/>
    <w:rsid w:val="00EC4CFB"/>
    <w:rsid w:val="00EC74B5"/>
    <w:rsid w:val="00ED36B2"/>
    <w:rsid w:val="00ED6FD7"/>
    <w:rsid w:val="00EE58EF"/>
    <w:rsid w:val="00EF3F9F"/>
    <w:rsid w:val="00F02D21"/>
    <w:rsid w:val="00F147A9"/>
    <w:rsid w:val="00F15BAE"/>
    <w:rsid w:val="00F218F4"/>
    <w:rsid w:val="00F241C4"/>
    <w:rsid w:val="00F3136F"/>
    <w:rsid w:val="00F36004"/>
    <w:rsid w:val="00F40652"/>
    <w:rsid w:val="00F410DE"/>
    <w:rsid w:val="00F42078"/>
    <w:rsid w:val="00F421DF"/>
    <w:rsid w:val="00F515A0"/>
    <w:rsid w:val="00F57B92"/>
    <w:rsid w:val="00F76853"/>
    <w:rsid w:val="00F933A4"/>
    <w:rsid w:val="00F93FF7"/>
    <w:rsid w:val="00FA0C56"/>
    <w:rsid w:val="00FA10F3"/>
    <w:rsid w:val="00FA5963"/>
    <w:rsid w:val="00FB26B5"/>
    <w:rsid w:val="00FB7B56"/>
    <w:rsid w:val="00FC6F8B"/>
    <w:rsid w:val="00FE011B"/>
    <w:rsid w:val="00FE0453"/>
    <w:rsid w:val="00FE45CF"/>
    <w:rsid w:val="00FF1C59"/>
    <w:rsid w:val="00FF1CF6"/>
    <w:rsid w:val="00FF5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>
      <o:colormenu v:ext="edit" fillcolor="none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41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069C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B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0F6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E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06FD"/>
  </w:style>
  <w:style w:type="paragraph" w:styleId="Pieddepage">
    <w:name w:val="footer"/>
    <w:basedOn w:val="Normal"/>
    <w:link w:val="PieddepageCar"/>
    <w:uiPriority w:val="99"/>
    <w:unhideWhenUsed/>
    <w:rsid w:val="000E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06FD"/>
  </w:style>
  <w:style w:type="character" w:customStyle="1" w:styleId="longtext">
    <w:name w:val="long_text"/>
    <w:basedOn w:val="Policepardfaut"/>
    <w:rsid w:val="000212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42DD-D7CE-4478-868D-8F586FA2D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2011-04-04T06:06:00Z</cp:lastPrinted>
  <dcterms:created xsi:type="dcterms:W3CDTF">2011-04-12T09:27:00Z</dcterms:created>
  <dcterms:modified xsi:type="dcterms:W3CDTF">2011-04-12T09:27:00Z</dcterms:modified>
</cp:coreProperties>
</file>