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86" w:rsidRPr="005A2586" w:rsidRDefault="005A2586" w:rsidP="005A2586">
      <w:pPr>
        <w:rPr>
          <w:szCs w:val="24"/>
          <w:u w:val="single"/>
        </w:rPr>
      </w:pPr>
      <w:r w:rsidRPr="005A2586">
        <w:rPr>
          <w:szCs w:val="24"/>
          <w:u w:val="single"/>
        </w:rPr>
        <w:t>Question 1 :</w:t>
      </w:r>
    </w:p>
    <w:p w:rsidR="005A2586" w:rsidRDefault="005A2586" w:rsidP="005A2586">
      <w:pPr>
        <w:rPr>
          <w:szCs w:val="24"/>
        </w:rPr>
      </w:pPr>
    </w:p>
    <w:p w:rsidR="005A2586" w:rsidRDefault="005A2586" w:rsidP="005A2586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R</w:t>
      </w:r>
      <w:r w:rsidRPr="00DA2666">
        <w:rPr>
          <w:szCs w:val="24"/>
        </w:rPr>
        <w:t xml:space="preserve">elation liant la fréquence </w:t>
      </w:r>
      <w:r w:rsidRPr="00DA2666">
        <w:rPr>
          <w:i/>
          <w:iCs/>
          <w:szCs w:val="24"/>
        </w:rPr>
        <w:t>f</w:t>
      </w:r>
      <w:r w:rsidRPr="00DA2666">
        <w:rPr>
          <w:szCs w:val="24"/>
        </w:rPr>
        <w:t xml:space="preserve"> du mode de vibration fondamental, la longueur de la corde </w:t>
      </w:r>
      <w:r w:rsidRPr="00DA2666">
        <w:rPr>
          <w:i/>
          <w:szCs w:val="24"/>
        </w:rPr>
        <w:t>L</w:t>
      </w:r>
      <w:r w:rsidRPr="00DA2666">
        <w:rPr>
          <w:szCs w:val="24"/>
        </w:rPr>
        <w:t xml:space="preserve"> et la célérité </w:t>
      </w:r>
      <w:r w:rsidRPr="00DA2666">
        <w:rPr>
          <w:i/>
          <w:iCs/>
          <w:szCs w:val="24"/>
        </w:rPr>
        <w:t>v</w:t>
      </w:r>
      <w:r w:rsidRPr="00DA2666">
        <w:rPr>
          <w:szCs w:val="24"/>
        </w:rPr>
        <w:t xml:space="preserve"> de l’onde sur la corde</w:t>
      </w:r>
      <w:r>
        <w:rPr>
          <w:szCs w:val="24"/>
        </w:rPr>
        <w:t> :</w:t>
      </w:r>
    </w:p>
    <w:p w:rsidR="005A2586" w:rsidRDefault="005A2586" w:rsidP="005A2586">
      <w:pPr>
        <w:rPr>
          <w:szCs w:val="24"/>
        </w:rPr>
      </w:pPr>
      <w:r>
        <w:rPr>
          <w:szCs w:val="24"/>
        </w:rPr>
        <w:t xml:space="preserve">On sait que </w:t>
      </w:r>
      <w:r>
        <w:rPr>
          <w:szCs w:val="24"/>
        </w:rPr>
        <w:sym w:font="Symbol" w:char="F06C"/>
      </w:r>
      <w:r>
        <w:rPr>
          <w:szCs w:val="24"/>
        </w:rPr>
        <w:t xml:space="preserve"> = </w:t>
      </w:r>
      <w:r w:rsidRPr="00ED0140">
        <w:rPr>
          <w:position w:val="-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pt;height:31.15pt" o:ole="">
            <v:imagedata r:id="rId5" o:title=""/>
          </v:shape>
          <o:OLEObject Type="Embed" ProgID="Equation.DSMT4" ShapeID="_x0000_i1025" DrawAspect="Content" ObjectID="_1583672324" r:id="rId6"/>
        </w:object>
      </w:r>
      <w:r>
        <w:rPr>
          <w:szCs w:val="24"/>
        </w:rPr>
        <w:t xml:space="preserve"> soit f = </w:t>
      </w:r>
      <w:r w:rsidRPr="00ED0140">
        <w:rPr>
          <w:position w:val="-24"/>
          <w:szCs w:val="24"/>
        </w:rPr>
        <w:object w:dxaOrig="240" w:dyaOrig="620">
          <v:shape id="_x0000_i1026" type="#_x0000_t75" style="width:11.8pt;height:31.15pt" o:ole="">
            <v:imagedata r:id="rId7" o:title=""/>
          </v:shape>
          <o:OLEObject Type="Embed" ProgID="Equation.DSMT4" ShapeID="_x0000_i1026" DrawAspect="Content" ObjectID="_1583672325" r:id="rId8"/>
        </w:object>
      </w:r>
      <w:r>
        <w:rPr>
          <w:szCs w:val="24"/>
        </w:rPr>
        <w:tab/>
        <w:t>(1)</w:t>
      </w:r>
    </w:p>
    <w:p w:rsidR="005A2586" w:rsidRDefault="00A50CF6" w:rsidP="005A2586">
      <w:pPr>
        <w:rPr>
          <w:szCs w:val="24"/>
        </w:rPr>
      </w:pPr>
      <w:r>
        <w:rPr>
          <w:szCs w:val="24"/>
        </w:rPr>
        <w:t>D’après le document 3</w:t>
      </w:r>
      <w:r w:rsidR="005A2586">
        <w:rPr>
          <w:szCs w:val="24"/>
        </w:rPr>
        <w:t xml:space="preserve">, on a L </w:t>
      </w:r>
      <w:proofErr w:type="gramStart"/>
      <w:r w:rsidR="005A2586">
        <w:rPr>
          <w:szCs w:val="24"/>
        </w:rPr>
        <w:t xml:space="preserve">= </w:t>
      </w:r>
      <w:proofErr w:type="gramEnd"/>
      <w:r w:rsidR="005A2586" w:rsidRPr="00ED0140">
        <w:rPr>
          <w:position w:val="-24"/>
          <w:szCs w:val="24"/>
        </w:rPr>
        <w:object w:dxaOrig="240" w:dyaOrig="620">
          <v:shape id="_x0000_i1027" type="#_x0000_t75" style="width:11.8pt;height:31.15pt" o:ole="">
            <v:imagedata r:id="rId9" o:title=""/>
          </v:shape>
          <o:OLEObject Type="Embed" ProgID="Equation.DSMT4" ShapeID="_x0000_i1027" DrawAspect="Content" ObjectID="_1583672326" r:id="rId10"/>
        </w:object>
      </w:r>
      <w:r w:rsidR="005A2586">
        <w:rPr>
          <w:szCs w:val="24"/>
        </w:rPr>
        <w:t xml:space="preserve">, soit </w:t>
      </w:r>
      <w:r w:rsidR="005A2586">
        <w:rPr>
          <w:szCs w:val="24"/>
        </w:rPr>
        <w:sym w:font="Symbol" w:char="F06C"/>
      </w:r>
      <w:r w:rsidR="005A2586">
        <w:rPr>
          <w:szCs w:val="24"/>
        </w:rPr>
        <w:t xml:space="preserve"> = 2.L</w:t>
      </w:r>
      <w:r w:rsidR="005A2586">
        <w:rPr>
          <w:szCs w:val="24"/>
        </w:rPr>
        <w:tab/>
        <w:t>(2).</w:t>
      </w:r>
    </w:p>
    <w:p w:rsidR="005A2586" w:rsidRDefault="005A2586" w:rsidP="005A2586">
      <w:pPr>
        <w:rPr>
          <w:szCs w:val="24"/>
        </w:rPr>
      </w:pPr>
      <w:r>
        <w:rPr>
          <w:szCs w:val="24"/>
        </w:rPr>
        <w:t xml:space="preserve">En combinant (1) et (2), il vient </w:t>
      </w:r>
      <w:r w:rsidRPr="00F7289F">
        <w:rPr>
          <w:szCs w:val="24"/>
          <w:bdr w:val="single" w:sz="4" w:space="0" w:color="auto"/>
        </w:rPr>
        <w:t xml:space="preserve">f = </w:t>
      </w:r>
      <w:r w:rsidRPr="00F7289F">
        <w:rPr>
          <w:position w:val="-24"/>
          <w:szCs w:val="24"/>
          <w:bdr w:val="single" w:sz="4" w:space="0" w:color="auto"/>
        </w:rPr>
        <w:object w:dxaOrig="420" w:dyaOrig="620">
          <v:shape id="_x0000_i1028" type="#_x0000_t75" style="width:20.95pt;height:31.15pt" o:ole="">
            <v:imagedata r:id="rId11" o:title=""/>
          </v:shape>
          <o:OLEObject Type="Embed" ProgID="Equation.DSMT4" ShapeID="_x0000_i1028" DrawAspect="Content" ObjectID="_1583672327" r:id="rId12"/>
        </w:object>
      </w:r>
      <w:r w:rsidRPr="00F7289F">
        <w:rPr>
          <w:szCs w:val="24"/>
        </w:rPr>
        <w:tab/>
        <w:t>(3)</w:t>
      </w:r>
    </w:p>
    <w:p w:rsidR="005A2586" w:rsidRPr="00ED0140" w:rsidRDefault="005A2586" w:rsidP="005A2586">
      <w:pPr>
        <w:rPr>
          <w:szCs w:val="24"/>
        </w:rPr>
      </w:pPr>
    </w:p>
    <w:p w:rsidR="005A2586" w:rsidRPr="00331675" w:rsidRDefault="005A2586" w:rsidP="005A2586">
      <w:pPr>
        <w:numPr>
          <w:ilvl w:val="0"/>
          <w:numId w:val="1"/>
        </w:numPr>
      </w:pPr>
      <w:r w:rsidRPr="00DA2666">
        <w:rPr>
          <w:szCs w:val="24"/>
        </w:rPr>
        <w:t>M</w:t>
      </w:r>
      <w:r w:rsidRPr="00DA2666">
        <w:rPr>
          <w:szCs w:val="24"/>
          <w:shd w:val="clear" w:color="auto" w:fill="FFFFFF"/>
        </w:rPr>
        <w:t xml:space="preserve">ontrer que cette relation peut s’écrire </w:t>
      </w:r>
      <w:proofErr w:type="gramStart"/>
      <w:r w:rsidRPr="00DA2666">
        <w:rPr>
          <w:szCs w:val="24"/>
        </w:rPr>
        <w:t>:</w:t>
      </w:r>
      <w:r>
        <w:rPr>
          <w:szCs w:val="24"/>
        </w:rPr>
        <w:t xml:space="preserve"> </w:t>
      </w:r>
      <w:r w:rsidRPr="00A34F3F">
        <w:rPr>
          <w:position w:val="-30"/>
          <w:szCs w:val="24"/>
        </w:rPr>
        <w:object w:dxaOrig="1140" w:dyaOrig="740">
          <v:shape id="_x0000_i1029" type="#_x0000_t75" style="width:56.95pt;height:37.05pt" o:ole="">
            <v:imagedata r:id="rId13" o:title=""/>
          </v:shape>
          <o:OLEObject Type="Embed" ProgID="Equation.DSMT4" ShapeID="_x0000_i1029" DrawAspect="Content" ObjectID="_1583672328" r:id="rId14"/>
        </w:object>
      </w:r>
      <w:r w:rsidR="00891201" w:rsidRPr="00DA2666">
        <w:rPr>
          <w:szCs w:val="24"/>
        </w:rPr>
        <w:fldChar w:fldCharType="begin"/>
      </w:r>
      <w:r w:rsidRPr="00DA2666">
        <w:rPr>
          <w:szCs w:val="24"/>
        </w:rPr>
        <w:instrText xml:space="preserve"> QUOTE </w:instrText>
      </w:r>
      <m:oMath>
        <m: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  <w:i/>
          </w:rPr>
          <m:t>f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=</m:t>
        </m:r>
        <m:r>
          <m:rPr>
            <m:nor/>
          </m:rPr>
          <w:rPr>
            <w:rFonts w:ascii="Cambria Math" w:cs="Arial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m:rPr>
                <m:nor/>
              </m:rPr>
              <w:rPr>
                <w:rFonts w:cs="Arial"/>
              </w:rPr>
              <m:t>1</m:t>
            </m:r>
          </m:num>
          <m:den>
            <m:r>
              <m:rPr>
                <m:nor/>
              </m:rPr>
              <w:rPr>
                <w:rFonts w:ascii="Cambria Math" w:cs="Arial"/>
              </w:rPr>
              <m:t xml:space="preserve"> </m:t>
            </m:r>
            <m:r>
              <m:rPr>
                <m:nor/>
              </m:rPr>
              <w:rPr>
                <w:rFonts w:cs="Arial"/>
              </w:rPr>
              <m:t>2</m:t>
            </m:r>
            <m:r>
              <m:rPr>
                <m:nor/>
              </m:rPr>
              <w:rPr>
                <w:rFonts w:cs="Arial"/>
                <w:i/>
              </w:rPr>
              <m:t>L</m:t>
            </m:r>
          </m:den>
        </m:f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  <w:i/>
                  </w:rPr>
                  <m:t>T</m:t>
                </m:r>
              </m:num>
              <m:den>
                <m:r>
                  <m:rPr>
                    <m:nor/>
                  </m:rPr>
                  <w:rPr>
                    <w:rFonts w:cs="Arial"/>
                    <w:i/>
                  </w:rPr>
                  <m:t>μ</m:t>
                </m:r>
              </m:den>
            </m:f>
          </m:e>
        </m:rad>
      </m:oMath>
      <w:r w:rsidRPr="00DA2666">
        <w:rPr>
          <w:szCs w:val="24"/>
        </w:rPr>
        <w:instrText xml:space="preserve"> </w:instrText>
      </w:r>
      <w:r w:rsidR="00891201" w:rsidRPr="00DA2666">
        <w:rPr>
          <w:szCs w:val="24"/>
        </w:rPr>
        <w:fldChar w:fldCharType="end"/>
      </w:r>
      <w:r>
        <w:rPr>
          <w:szCs w:val="24"/>
        </w:rPr>
        <w:t> </w:t>
      </w:r>
      <w:r>
        <w:rPr>
          <w:rFonts w:cs="Arial"/>
          <w:szCs w:val="24"/>
        </w:rPr>
        <w:t>:</w:t>
      </w:r>
      <w:proofErr w:type="gramEnd"/>
    </w:p>
    <w:p w:rsidR="005A2586" w:rsidRDefault="00A50CF6" w:rsidP="005A2586">
      <w:pPr>
        <w:rPr>
          <w:szCs w:val="24"/>
        </w:rPr>
      </w:pPr>
      <w:r>
        <w:t>D’après le document 3</w:t>
      </w:r>
      <w:r w:rsidR="005A2586">
        <w:t xml:space="preserve">, on apprend </w:t>
      </w:r>
      <w:proofErr w:type="gramStart"/>
      <w:r w:rsidR="005A2586">
        <w:t xml:space="preserve">que </w:t>
      </w:r>
      <w:r w:rsidR="005A2586" w:rsidRPr="008B0BB3">
        <w:rPr>
          <w:position w:val="-30"/>
          <w:szCs w:val="24"/>
        </w:rPr>
        <w:object w:dxaOrig="820" w:dyaOrig="740">
          <v:shape id="_x0000_i1030" type="#_x0000_t75" style="width:40.85pt;height:37.05pt" o:ole="">
            <v:imagedata r:id="rId15" o:title=""/>
          </v:shape>
          <o:OLEObject Type="Embed" ProgID="Equation.DSMT4" ShapeID="_x0000_i1030" DrawAspect="Content" ObjectID="_1583672329" r:id="rId16"/>
        </w:object>
      </w:r>
      <w:r w:rsidR="005A2586">
        <w:t xml:space="preserve"> ainsi</w:t>
      </w:r>
      <w:proofErr w:type="gramEnd"/>
      <w:r w:rsidR="005A2586">
        <w:t xml:space="preserve"> d’après (3) on obtient </w:t>
      </w:r>
      <w:r w:rsidR="005A2586" w:rsidRPr="00A34F3F">
        <w:rPr>
          <w:position w:val="-30"/>
          <w:szCs w:val="24"/>
        </w:rPr>
        <w:object w:dxaOrig="1140" w:dyaOrig="740">
          <v:shape id="_x0000_i1031" type="#_x0000_t75" style="width:56.95pt;height:37.05pt" o:ole="" o:bordertopcolor="this" o:borderleftcolor="this" o:borderbottomcolor="this" o:borderrightcolor="this">
            <v:imagedata r:id="rId1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1" DrawAspect="Content" ObjectID="_1583672330" r:id="rId17"/>
        </w:object>
      </w:r>
    </w:p>
    <w:p w:rsidR="009407D9" w:rsidRDefault="009407D9"/>
    <w:p w:rsidR="00A50CF6" w:rsidRDefault="00A50CF6">
      <w:r>
        <w:t>Le guitariste peut intervenir sur la tension de la corde T (avec les mécaniques) ou sur sa longueur L (en posant un doigt sur une case)</w:t>
      </w:r>
    </w:p>
    <w:p w:rsidR="00A50CF6" w:rsidRDefault="00A50CF6"/>
    <w:p w:rsidR="00A50CF6" w:rsidRPr="00A50CF6" w:rsidRDefault="00A50CF6">
      <w:pPr>
        <w:rPr>
          <w:u w:val="single"/>
        </w:rPr>
      </w:pPr>
      <w:r w:rsidRPr="00A50CF6">
        <w:rPr>
          <w:u w:val="single"/>
        </w:rPr>
        <w:t>Question 2 :</w:t>
      </w:r>
    </w:p>
    <w:p w:rsidR="00A50CF6" w:rsidRDefault="00A50CF6"/>
    <w:p w:rsidR="00A50CF6" w:rsidRDefault="00A50CF6">
      <w:r>
        <w:t xml:space="preserve">On n’entend pas la même chose, les notes sont différentes car la guitare n’est pas accordée. </w:t>
      </w:r>
    </w:p>
    <w:p w:rsidR="00E116CC" w:rsidRDefault="00E116CC"/>
    <w:p w:rsidR="004B4F7A" w:rsidRDefault="00E116CC">
      <w:r>
        <w:t xml:space="preserve">D’après le tableau du document 4, </w:t>
      </w:r>
      <w:r w:rsidR="004B4F7A">
        <w:t xml:space="preserve">si </w:t>
      </w:r>
      <w:r>
        <w:t xml:space="preserve">on joue les cordes de La et Ré à vide, </w:t>
      </w:r>
      <w:r w:rsidR="004B4F7A">
        <w:t xml:space="preserve">quand </w:t>
      </w:r>
      <w:r>
        <w:t xml:space="preserve">on enregistre chaque son sur </w:t>
      </w:r>
      <w:proofErr w:type="spellStart"/>
      <w:r>
        <w:t>W</w:t>
      </w:r>
      <w:r w:rsidR="004B4F7A">
        <w:t>inoscillo</w:t>
      </w:r>
      <w:proofErr w:type="spellEnd"/>
      <w:r w:rsidR="004B4F7A">
        <w:t> :</w:t>
      </w:r>
      <w:r>
        <w:t xml:space="preserve"> </w:t>
      </w:r>
    </w:p>
    <w:p w:rsidR="004B4F7A" w:rsidRDefault="00E116CC" w:rsidP="004B4F7A">
      <w:pPr>
        <w:pStyle w:val="Paragraphedeliste"/>
        <w:numPr>
          <w:ilvl w:val="0"/>
          <w:numId w:val="2"/>
        </w:numPr>
      </w:pPr>
      <w:r>
        <w:t xml:space="preserve">soit on mesure la période, on en déduit la fréquence, on doit retrouver </w:t>
      </w:r>
      <w:r w:rsidR="00536C67">
        <w:t>f</w:t>
      </w:r>
      <w:r w:rsidR="00536C67" w:rsidRPr="00536C67">
        <w:rPr>
          <w:vertAlign w:val="subscript"/>
        </w:rPr>
        <w:t>la</w:t>
      </w:r>
      <w:r w:rsidR="00536C67">
        <w:t>=</w:t>
      </w:r>
      <w:r>
        <w:t xml:space="preserve">110Hz et </w:t>
      </w:r>
      <w:r w:rsidR="00536C67">
        <w:t>f</w:t>
      </w:r>
      <w:r w:rsidR="00536C67" w:rsidRPr="00536C67">
        <w:rPr>
          <w:vertAlign w:val="subscript"/>
        </w:rPr>
        <w:t>ré</w:t>
      </w:r>
      <w:r w:rsidR="00536C67">
        <w:t>=</w:t>
      </w:r>
      <w:r>
        <w:t xml:space="preserve">146Hz </w:t>
      </w:r>
    </w:p>
    <w:p w:rsidR="00E116CC" w:rsidRDefault="004B4F7A" w:rsidP="004B4F7A">
      <w:pPr>
        <w:pStyle w:val="Paragraphedeliste"/>
        <w:numPr>
          <w:ilvl w:val="0"/>
          <w:numId w:val="2"/>
        </w:numPr>
      </w:pPr>
      <w:r>
        <w:t xml:space="preserve">soit </w:t>
      </w:r>
      <w:r w:rsidR="00E116CC">
        <w:t xml:space="preserve">en mode spectre sur </w:t>
      </w:r>
      <w:proofErr w:type="spellStart"/>
      <w:r w:rsidR="00E116CC">
        <w:t>Winoscillo</w:t>
      </w:r>
      <w:proofErr w:type="spellEnd"/>
      <w:r w:rsidR="00E116CC">
        <w:t xml:space="preserve"> on lit la valeur de la fréquence du premier pic (fondamental) du spectre de chaque son et on doit retrouver les valeurs 110Hz et 146Hz.</w:t>
      </w:r>
    </w:p>
    <w:p w:rsidR="004B4F7A" w:rsidRDefault="004B4F7A"/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E3020E" w:rsidRDefault="00E3020E">
      <w:pPr>
        <w:rPr>
          <w:u w:val="single"/>
        </w:rPr>
      </w:pPr>
    </w:p>
    <w:p w:rsidR="004B4F7A" w:rsidRPr="004B4F7A" w:rsidRDefault="004B4F7A">
      <w:pPr>
        <w:rPr>
          <w:u w:val="single"/>
        </w:rPr>
      </w:pPr>
      <w:r w:rsidRPr="004B4F7A">
        <w:rPr>
          <w:u w:val="single"/>
        </w:rPr>
        <w:lastRenderedPageBreak/>
        <w:t>Problème :</w:t>
      </w:r>
    </w:p>
    <w:p w:rsidR="004B4F7A" w:rsidRDefault="004B4F7A"/>
    <w:p w:rsidR="004B4F7A" w:rsidRDefault="000A5596">
      <w:r>
        <w:t>En utilisant le document 5 </w:t>
      </w:r>
      <w:r w:rsidR="009D5D64">
        <w:t>(texte et schéma)</w:t>
      </w:r>
      <w:r>
        <w:t>:</w:t>
      </w:r>
    </w:p>
    <w:p w:rsidR="000A5596" w:rsidRDefault="000A5596"/>
    <w:p w:rsidR="000A5596" w:rsidRPr="00E3020E" w:rsidRDefault="000A5596">
      <w:pPr>
        <w:rPr>
          <w:u w:val="single"/>
        </w:rPr>
      </w:pPr>
      <w:r w:rsidRPr="00E3020E">
        <w:rPr>
          <w:u w:val="single"/>
        </w:rPr>
        <w:t>Exemple pour la corde de Mi grave:</w:t>
      </w:r>
    </w:p>
    <w:p w:rsidR="000A5596" w:rsidRDefault="000A5596"/>
    <w:p w:rsidR="000A5596" w:rsidRDefault="000A5596">
      <w:r>
        <w:t>Si on j</w:t>
      </w:r>
      <w:r w:rsidR="00E3020E">
        <w:t>oue la corde de Mi grave à la 5</w:t>
      </w:r>
      <w:r w:rsidR="00E3020E" w:rsidRPr="00E3020E">
        <w:rPr>
          <w:vertAlign w:val="superscript"/>
        </w:rPr>
        <w:t>è</w:t>
      </w:r>
      <w:r w:rsidRPr="00E3020E">
        <w:rPr>
          <w:vertAlign w:val="superscript"/>
        </w:rPr>
        <w:t>me</w:t>
      </w:r>
      <w:r>
        <w:t xml:space="preserve"> case, d’après le texte, on doit obtenir un La (donc un signal de fréquence 110Hz</w:t>
      </w:r>
      <w:r w:rsidR="009D5D64">
        <w:t xml:space="preserve"> d’après le document 4</w:t>
      </w:r>
      <w:r>
        <w:t>)</w:t>
      </w:r>
    </w:p>
    <w:p w:rsidR="000A5596" w:rsidRDefault="000A5596">
      <w:r>
        <w:t xml:space="preserve">On joue la corde de Mi avec un doigt en 5ème case, on fait l’acquisition du son avec </w:t>
      </w:r>
      <w:proofErr w:type="spellStart"/>
      <w:r>
        <w:t>Winoscillo</w:t>
      </w:r>
      <w:proofErr w:type="spellEnd"/>
      <w:r>
        <w:t xml:space="preserve"> et on regarde la position du pic fondamental </w:t>
      </w:r>
      <w:r w:rsidR="009D5D64">
        <w:t>sur le spectre</w:t>
      </w:r>
      <w:r>
        <w:t>:</w:t>
      </w:r>
    </w:p>
    <w:p w:rsidR="000A5596" w:rsidRDefault="000A5596">
      <w:r>
        <w:t>Si f&lt;110 Hz, on tend la corde en tournant la mécanique.</w:t>
      </w:r>
    </w:p>
    <w:p w:rsidR="000A5596" w:rsidRDefault="000A5596">
      <w:r>
        <w:t>Si f&gt;110Hz, on détend la corde en tournant la mécanique dans l’autre sens.</w:t>
      </w:r>
    </w:p>
    <w:p w:rsidR="00237D92" w:rsidRDefault="00237D92"/>
    <w:p w:rsidR="00105454" w:rsidRDefault="00237D92">
      <w:r>
        <w:t>On répète l’opération pour le</w:t>
      </w:r>
      <w:r w:rsidR="00E3020E">
        <w:t>s autres cordes</w:t>
      </w:r>
      <w:r w:rsidR="009D5D64">
        <w:t xml:space="preserve"> en suivant le schéma</w:t>
      </w:r>
      <w:r w:rsidR="00105454">
        <w:t> fourni:</w:t>
      </w:r>
    </w:p>
    <w:p w:rsidR="00105454" w:rsidRDefault="00105454" w:rsidP="00364FD0">
      <w:pPr>
        <w:pStyle w:val="Paragraphedeliste"/>
        <w:numPr>
          <w:ilvl w:val="0"/>
          <w:numId w:val="3"/>
        </w:numPr>
      </w:pPr>
      <w:r>
        <w:t>On détermine</w:t>
      </w:r>
      <w:r w:rsidR="00E3020E">
        <w:t xml:space="preserve"> </w:t>
      </w:r>
      <w:r w:rsidR="00237D92">
        <w:t xml:space="preserve">la fréquence fondamentale </w:t>
      </w:r>
      <w:r w:rsidR="00364FD0">
        <w:t xml:space="preserve">de la note </w:t>
      </w:r>
      <w:r w:rsidR="00237D92">
        <w:t>attendue pour chaque corde</w:t>
      </w:r>
      <w:r w:rsidR="00E3020E">
        <w:t xml:space="preserve"> à vide</w:t>
      </w:r>
      <w:r w:rsidR="00364FD0">
        <w:t xml:space="preserve"> avec </w:t>
      </w:r>
      <w:proofErr w:type="spellStart"/>
      <w:r w:rsidR="00364FD0">
        <w:t>Winoscillo</w:t>
      </w:r>
      <w:proofErr w:type="spellEnd"/>
      <w:r w:rsidR="00364FD0">
        <w:t xml:space="preserve">, </w:t>
      </w:r>
      <w:r>
        <w:t xml:space="preserve">en </w:t>
      </w:r>
      <w:r w:rsidR="00364FD0">
        <w:t xml:space="preserve">jouant cette note sur une autre </w:t>
      </w:r>
      <w:r>
        <w:t>corde accordée.</w:t>
      </w:r>
    </w:p>
    <w:p w:rsidR="00237D92" w:rsidRDefault="00105454" w:rsidP="00105454">
      <w:pPr>
        <w:pStyle w:val="Paragraphedeliste"/>
        <w:numPr>
          <w:ilvl w:val="0"/>
          <w:numId w:val="3"/>
        </w:numPr>
      </w:pPr>
      <w:r>
        <w:t>On compare</w:t>
      </w:r>
      <w:r w:rsidR="00E3020E">
        <w:t xml:space="preserve"> </w:t>
      </w:r>
      <w:r>
        <w:t xml:space="preserve">cette fréquence à celle de la corde </w:t>
      </w:r>
      <w:r w:rsidR="009659E5">
        <w:t xml:space="preserve">à accorder </w:t>
      </w:r>
      <w:r w:rsidR="00E3020E">
        <w:t xml:space="preserve">avec </w:t>
      </w:r>
      <w:proofErr w:type="spellStart"/>
      <w:r w:rsidR="00E3020E">
        <w:t>Winoscillo</w:t>
      </w:r>
      <w:proofErr w:type="spellEnd"/>
      <w:r>
        <w:t>.</w:t>
      </w:r>
    </w:p>
    <w:p w:rsidR="00105454" w:rsidRDefault="00105454" w:rsidP="00105454">
      <w:pPr>
        <w:pStyle w:val="Paragraphedeliste"/>
        <w:numPr>
          <w:ilvl w:val="0"/>
          <w:numId w:val="3"/>
        </w:numPr>
      </w:pPr>
      <w:r>
        <w:t xml:space="preserve">On tend </w:t>
      </w:r>
      <w:r w:rsidR="009659E5">
        <w:t>(</w:t>
      </w:r>
      <w:r>
        <w:t>ou on détend</w:t>
      </w:r>
      <w:r w:rsidR="009659E5">
        <w:t>)</w:t>
      </w:r>
      <w:r>
        <w:t xml:space="preserve"> la corde</w:t>
      </w:r>
      <w:r w:rsidR="009659E5">
        <w:t xml:space="preserve"> pour avoir la fréquence souhaitée</w:t>
      </w:r>
      <w:r>
        <w:t>.</w:t>
      </w:r>
    </w:p>
    <w:p w:rsidR="00237D92" w:rsidRDefault="00237D92"/>
    <w:p w:rsidR="00237D92" w:rsidRDefault="00237D92">
      <w:r w:rsidRPr="00105454">
        <w:rPr>
          <w:u w:val="single"/>
        </w:rPr>
        <w:t xml:space="preserve">Pour </w:t>
      </w:r>
      <w:r w:rsidR="00E3020E" w:rsidRPr="00105454">
        <w:rPr>
          <w:u w:val="single"/>
        </w:rPr>
        <w:t xml:space="preserve">accorder </w:t>
      </w:r>
      <w:r w:rsidRPr="00105454">
        <w:rPr>
          <w:u w:val="single"/>
        </w:rPr>
        <w:t>la corde de Sol</w:t>
      </w:r>
      <w:r>
        <w:t>, on utilise la corde de Ré</w:t>
      </w:r>
      <w:r w:rsidR="00364FD0">
        <w:t xml:space="preserve"> accordée</w:t>
      </w:r>
      <w:r>
        <w:t>:</w:t>
      </w:r>
    </w:p>
    <w:p w:rsidR="00237D92" w:rsidRDefault="00237D92">
      <w:r>
        <w:t>On joue la corde de Ré en 5</w:t>
      </w:r>
      <w:r w:rsidRPr="00237D92">
        <w:rPr>
          <w:vertAlign w:val="superscript"/>
        </w:rPr>
        <w:t>ème</w:t>
      </w:r>
      <w:r>
        <w:t xml:space="preserve"> case, on </w:t>
      </w:r>
      <w:r w:rsidR="00E3020E">
        <w:t xml:space="preserve">a </w:t>
      </w:r>
      <w:r>
        <w:t xml:space="preserve">un Sol, on obtient </w:t>
      </w:r>
      <w:proofErr w:type="spellStart"/>
      <w:r>
        <w:t>f</w:t>
      </w:r>
      <w:r w:rsidR="00536C67" w:rsidRPr="00536C67">
        <w:rPr>
          <w:vertAlign w:val="subscript"/>
        </w:rPr>
        <w:t>sol</w:t>
      </w:r>
      <w:proofErr w:type="spellEnd"/>
      <w:r>
        <w:t xml:space="preserve"> =</w:t>
      </w:r>
      <w:r w:rsidR="00E3020E">
        <w:t xml:space="preserve"> 196 Hz.</w:t>
      </w:r>
    </w:p>
    <w:p w:rsidR="00E3020E" w:rsidRDefault="00E3020E">
      <w:r>
        <w:t xml:space="preserve">La corde de Sol à vide doit donc donner </w:t>
      </w:r>
      <w:r w:rsidR="00364FD0">
        <w:t>f</w:t>
      </w:r>
      <w:r w:rsidR="009659E5">
        <w:t xml:space="preserve"> </w:t>
      </w:r>
      <w:r w:rsidR="00364FD0">
        <w:t>=</w:t>
      </w:r>
      <w:r>
        <w:t>196 Hz, si ce n’est pas le cas on tend ou détend la corde.</w:t>
      </w:r>
    </w:p>
    <w:p w:rsidR="00E3020E" w:rsidRDefault="00E3020E"/>
    <w:p w:rsidR="00E3020E" w:rsidRDefault="00E3020E">
      <w:r w:rsidRPr="00105454">
        <w:rPr>
          <w:u w:val="single"/>
        </w:rPr>
        <w:t>Pour la corde de Si</w:t>
      </w:r>
      <w:r>
        <w:t>, on utilise le Si en 4</w:t>
      </w:r>
      <w:r w:rsidRPr="00E3020E">
        <w:rPr>
          <w:vertAlign w:val="superscript"/>
        </w:rPr>
        <w:t>ème</w:t>
      </w:r>
      <w:r w:rsidR="00536C67">
        <w:t xml:space="preserve"> case de la corde de Sol,</w:t>
      </w:r>
      <w:r w:rsidR="00AE06CF">
        <w:t xml:space="preserve"> </w:t>
      </w:r>
      <w:proofErr w:type="spellStart"/>
      <w:r w:rsidR="00AE06CF">
        <w:t>f</w:t>
      </w:r>
      <w:r w:rsidR="00536C67" w:rsidRPr="00536C67">
        <w:rPr>
          <w:vertAlign w:val="subscript"/>
        </w:rPr>
        <w:t>si</w:t>
      </w:r>
      <w:proofErr w:type="spellEnd"/>
      <w:r w:rsidR="00AE06CF" w:rsidRPr="00536C67">
        <w:rPr>
          <w:vertAlign w:val="subscript"/>
        </w:rPr>
        <w:t xml:space="preserve"> </w:t>
      </w:r>
      <w:r w:rsidR="00AE06CF">
        <w:t xml:space="preserve">= </w:t>
      </w:r>
      <w:r>
        <w:t>247 Hz</w:t>
      </w:r>
    </w:p>
    <w:p w:rsidR="00B00987" w:rsidRDefault="00B00987">
      <w:pPr>
        <w:rPr>
          <w:u w:val="single"/>
        </w:rPr>
      </w:pPr>
    </w:p>
    <w:p w:rsidR="00E3020E" w:rsidRDefault="00E3020E">
      <w:r w:rsidRPr="00105454">
        <w:rPr>
          <w:u w:val="single"/>
        </w:rPr>
        <w:t>Pour la corde de Mi aigu</w:t>
      </w:r>
      <w:r>
        <w:t>, on utilise le Mi aigu en 5</w:t>
      </w:r>
      <w:r w:rsidRPr="00E3020E">
        <w:rPr>
          <w:vertAlign w:val="superscript"/>
        </w:rPr>
        <w:t>ème</w:t>
      </w:r>
      <w:r>
        <w:t xml:space="preserve"> case de la corde de Si qui est à 330 Hz.</w:t>
      </w:r>
    </w:p>
    <w:p w:rsidR="00E3020E" w:rsidRDefault="00E3020E"/>
    <w:p w:rsidR="00E3020E" w:rsidRDefault="00E3020E">
      <w:r>
        <w:t xml:space="preserve">Une fois les six cordes accordées, on vérifie l’accordage avec le </w:t>
      </w:r>
      <w:proofErr w:type="spellStart"/>
      <w:r>
        <w:t>smartphone</w:t>
      </w:r>
      <w:proofErr w:type="spellEnd"/>
      <w:r>
        <w:t xml:space="preserve">, l’accordeur électronique, ou en faisant le spectre de chaque note </w:t>
      </w:r>
      <w:r w:rsidR="009F701E">
        <w:t xml:space="preserve">du morceau enregistré par l’élève </w:t>
      </w:r>
      <w:r>
        <w:t xml:space="preserve">sur </w:t>
      </w:r>
      <w:proofErr w:type="spellStart"/>
      <w:r>
        <w:t>Audacity</w:t>
      </w:r>
      <w:proofErr w:type="spellEnd"/>
      <w:r>
        <w:t>.</w:t>
      </w:r>
    </w:p>
    <w:p w:rsidR="00B00987" w:rsidRDefault="00B00987"/>
    <w:p w:rsidR="00237D92" w:rsidRDefault="00237D92"/>
    <w:p w:rsidR="00237D92" w:rsidRDefault="00237D92"/>
    <w:p w:rsidR="00237D92" w:rsidRDefault="00237D92"/>
    <w:sectPr w:rsidR="00237D92" w:rsidSect="00940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73B07"/>
    <w:multiLevelType w:val="hybridMultilevel"/>
    <w:tmpl w:val="A5D0A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D5B09"/>
    <w:multiLevelType w:val="hybridMultilevel"/>
    <w:tmpl w:val="1D000F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518E1"/>
    <w:multiLevelType w:val="hybridMultilevel"/>
    <w:tmpl w:val="4B682D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A2586"/>
    <w:rsid w:val="000A5596"/>
    <w:rsid w:val="00105454"/>
    <w:rsid w:val="00237D92"/>
    <w:rsid w:val="00364FD0"/>
    <w:rsid w:val="004B4F7A"/>
    <w:rsid w:val="00536C67"/>
    <w:rsid w:val="005A2586"/>
    <w:rsid w:val="00891201"/>
    <w:rsid w:val="009407D9"/>
    <w:rsid w:val="009659E5"/>
    <w:rsid w:val="009D5D64"/>
    <w:rsid w:val="009F701E"/>
    <w:rsid w:val="00A50CF6"/>
    <w:rsid w:val="00AE06CF"/>
    <w:rsid w:val="00B00987"/>
    <w:rsid w:val="00E116CC"/>
    <w:rsid w:val="00E3020E"/>
    <w:rsid w:val="00F4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25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258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4B4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2018-03-26T17:16:00Z</dcterms:created>
  <dcterms:modified xsi:type="dcterms:W3CDTF">2018-03-27T14:11:00Z</dcterms:modified>
</cp:coreProperties>
</file>