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6"/>
        <w:gridCol w:w="9314"/>
      </w:tblGrid>
      <w:tr w:rsidR="00452A25" w:rsidRPr="004719A8" w:rsidTr="00C43CF2">
        <w:tc>
          <w:tcPr>
            <w:tcW w:w="1458" w:type="dxa"/>
            <w:vAlign w:val="center"/>
          </w:tcPr>
          <w:p w:rsidR="00452A25" w:rsidRPr="009715FB" w:rsidRDefault="00452A25" w:rsidP="0062255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val="en-US"/>
              </w:rPr>
              <w:drawing>
                <wp:inline distT="0" distB="0" distL="0" distR="0" wp14:anchorId="32B79D9E" wp14:editId="492687D8">
                  <wp:extent cx="828675" cy="550518"/>
                  <wp:effectExtent l="1905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50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2" w:type="dxa"/>
          </w:tcPr>
          <w:p w:rsidR="00452A25" w:rsidRPr="00F82517" w:rsidRDefault="00452A25" w:rsidP="00622550">
            <w:pPr>
              <w:jc w:val="center"/>
            </w:pPr>
            <w:r w:rsidRPr="00F82517">
              <w:t xml:space="preserve">BTS </w:t>
            </w:r>
            <w:r w:rsidR="00763CC9">
              <w:t>CRSA</w:t>
            </w:r>
            <w:r w:rsidRPr="00F82517">
              <w:t xml:space="preserve"> </w:t>
            </w:r>
            <w:r w:rsidR="00763CC9">
              <w:t>1</w:t>
            </w:r>
            <w:r w:rsidRPr="00F82517">
              <w:rPr>
                <w:vertAlign w:val="superscript"/>
              </w:rPr>
              <w:t>è</w:t>
            </w:r>
            <w:r w:rsidR="00763CC9">
              <w:rPr>
                <w:vertAlign w:val="superscript"/>
              </w:rPr>
              <w:t>r</w:t>
            </w:r>
            <w:r w:rsidRPr="00F82517">
              <w:rPr>
                <w:vertAlign w:val="superscript"/>
              </w:rPr>
              <w:t>e</w:t>
            </w:r>
            <w:r w:rsidRPr="00F82517">
              <w:t xml:space="preserve"> année - Sciences physiques </w:t>
            </w:r>
            <w:r w:rsidR="00763CC9">
              <w:t xml:space="preserve">et chimiques </w:t>
            </w:r>
            <w:r w:rsidRPr="00F82517">
              <w:t>appliquées</w:t>
            </w:r>
          </w:p>
          <w:p w:rsidR="00452A25" w:rsidRPr="004719A8" w:rsidRDefault="00452A25" w:rsidP="007C69D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TP n°</w:t>
            </w:r>
            <w:r w:rsidR="007C69D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 : </w:t>
            </w:r>
            <w:r w:rsidR="007C69D9">
              <w:rPr>
                <w:b/>
                <w:sz w:val="28"/>
                <w:szCs w:val="28"/>
              </w:rPr>
              <w:t>fiche dépannage</w:t>
            </w:r>
          </w:p>
        </w:tc>
      </w:tr>
    </w:tbl>
    <w:p w:rsidR="00452A25" w:rsidRDefault="00452A25" w:rsidP="00452A25"/>
    <w:tbl>
      <w:tblPr>
        <w:tblStyle w:val="TableGrid"/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77"/>
        <w:gridCol w:w="5333"/>
      </w:tblGrid>
      <w:tr w:rsidR="00452A25" w:rsidTr="00AA6458">
        <w:tc>
          <w:tcPr>
            <w:tcW w:w="10910" w:type="dxa"/>
            <w:gridSpan w:val="2"/>
          </w:tcPr>
          <w:p w:rsidR="00452A25" w:rsidRDefault="00452A25" w:rsidP="00C43CF2">
            <w:pPr>
              <w:spacing w:before="120" w:after="120"/>
              <w:jc w:val="center"/>
              <w:rPr>
                <w:b/>
              </w:rPr>
            </w:pPr>
            <w:r w:rsidRPr="008118E7">
              <w:rPr>
                <w:b/>
              </w:rPr>
              <w:t>Enjeu :</w:t>
            </w:r>
          </w:p>
          <w:p w:rsidR="00452A25" w:rsidRDefault="007C69D9" w:rsidP="00185713">
            <w:pPr>
              <w:spacing w:before="120" w:after="120"/>
            </w:pPr>
            <w:r>
              <w:t>On cherche à optimiser la gestion des taches dans le service maintenance d’une entreprise.</w:t>
            </w:r>
          </w:p>
        </w:tc>
      </w:tr>
      <w:tr w:rsidR="00452A25" w:rsidTr="00AA6458">
        <w:tc>
          <w:tcPr>
            <w:tcW w:w="5577" w:type="dxa"/>
            <w:tcBorders>
              <w:bottom w:val="nil"/>
            </w:tcBorders>
          </w:tcPr>
          <w:p w:rsidR="00452A25" w:rsidRDefault="00452A25" w:rsidP="00622550">
            <w:pPr>
              <w:spacing w:before="120"/>
              <w:jc w:val="center"/>
              <w:rPr>
                <w:b/>
              </w:rPr>
            </w:pPr>
            <w:r w:rsidRPr="00A80836">
              <w:rPr>
                <w:b/>
              </w:rPr>
              <w:t>Problématique :</w:t>
            </w:r>
          </w:p>
          <w:p w:rsidR="007C69D9" w:rsidRDefault="007C69D9" w:rsidP="002634A6">
            <w:pPr>
              <w:spacing w:before="120"/>
            </w:pPr>
            <w:r>
              <w:t>En tant que responsable de la maintenance, il vous revient la charge d’établir des fiches de dépannage.</w:t>
            </w:r>
          </w:p>
          <w:p w:rsidR="00575D4E" w:rsidRDefault="007C69D9" w:rsidP="00575D4E">
            <w:pPr>
              <w:spacing w:before="120"/>
            </w:pPr>
            <w:r>
              <w:t>En cas de panne,  les membres de votre équipe utiliseront ces fiches pour </w:t>
            </w:r>
            <w:r w:rsidR="00575D4E">
              <w:t xml:space="preserve">mesurer </w:t>
            </w:r>
            <w:r>
              <w:t>la tension entre l</w:t>
            </w:r>
            <w:r w:rsidR="00575D4E">
              <w:t>es différents éléments des s</w:t>
            </w:r>
            <w:r>
              <w:t>ystèmes.</w:t>
            </w:r>
          </w:p>
          <w:p w:rsidR="007C69D9" w:rsidRDefault="00575D4E" w:rsidP="00575D4E">
            <w:pPr>
              <w:spacing w:before="120"/>
            </w:pPr>
            <w:r>
              <w:t xml:space="preserve">Ainsi, en lisant les mesures qu’un opérateur aura </w:t>
            </w:r>
            <w:r w:rsidR="002634A6">
              <w:t>relevées</w:t>
            </w:r>
            <w:r>
              <w:t>, vous pourrez faire un premier diagnostic sans vous déplacer.</w:t>
            </w:r>
          </w:p>
          <w:p w:rsidR="00452A25" w:rsidRDefault="00452A25" w:rsidP="007C69D9"/>
        </w:tc>
        <w:tc>
          <w:tcPr>
            <w:tcW w:w="5333" w:type="dxa"/>
            <w:tcBorders>
              <w:bottom w:val="nil"/>
            </w:tcBorders>
          </w:tcPr>
          <w:p w:rsidR="00452A25" w:rsidRDefault="007C69D9" w:rsidP="00AA6458">
            <w:pPr>
              <w:spacing w:before="12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1A77300" wp14:editId="0FF388DD">
                  <wp:extent cx="1847850" cy="2466975"/>
                  <wp:effectExtent l="0" t="0" r="0" b="9525"/>
                  <wp:docPr id="47" name="Image 1" descr="imagesCAHJRRP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imagesCAHJRRPR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A25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C9" w:rsidRDefault="00763CC9" w:rsidP="00763CC9">
            <w:pPr>
              <w:pStyle w:val="ListParagraph"/>
              <w:spacing w:before="120" w:after="120"/>
              <w:ind w:left="34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Rapport au programme :</w:t>
            </w:r>
          </w:p>
          <w:p w:rsidR="009A5998" w:rsidRDefault="006833A0" w:rsidP="00763CC9">
            <w:pPr>
              <w:pStyle w:val="ListParagraph"/>
              <w:spacing w:before="120" w:after="120"/>
              <w:ind w:left="340"/>
              <w:contextualSpacing w:val="0"/>
              <w:rPr>
                <w:b/>
              </w:rPr>
            </w:pPr>
            <w:r>
              <w:rPr>
                <w:b/>
              </w:rPr>
              <w:t>3.2</w:t>
            </w:r>
            <w:r w:rsidR="009A5998">
              <w:rPr>
                <w:b/>
              </w:rPr>
              <w:t xml:space="preserve"> </w:t>
            </w:r>
            <w:r>
              <w:rPr>
                <w:b/>
              </w:rPr>
              <w:t>ANALYSE DU SIGNAL</w:t>
            </w:r>
            <w:r w:rsidR="009A5998">
              <w:rPr>
                <w:b/>
              </w:rPr>
              <w:t> :</w:t>
            </w:r>
          </w:p>
          <w:p w:rsidR="00452A25" w:rsidRPr="00763CC9" w:rsidRDefault="006833A0" w:rsidP="00763CC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1395" w:hanging="357"/>
              <w:contextualSpacing w:val="0"/>
              <w:jc w:val="left"/>
              <w:rPr>
                <w:rFonts w:eastAsia="SymbolMT" w:cs="Arial"/>
              </w:rPr>
            </w:pPr>
            <w:r>
              <w:rPr>
                <w:rFonts w:eastAsia="SymbolMT" w:cs="Arial"/>
              </w:rPr>
              <w:t>Propriétés temporelles</w:t>
            </w:r>
          </w:p>
        </w:tc>
      </w:tr>
      <w:tr w:rsidR="007C69D9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D9" w:rsidRDefault="007C69D9" w:rsidP="00763CC9">
            <w:pPr>
              <w:pStyle w:val="ListParagraph"/>
              <w:spacing w:before="120" w:after="120"/>
              <w:ind w:left="340"/>
              <w:contextualSpacing w:val="0"/>
              <w:jc w:val="center"/>
              <w:rPr>
                <w:b/>
              </w:rPr>
            </w:pPr>
            <w:r w:rsidRPr="00E11E79">
              <w:rPr>
                <w:b/>
              </w:rPr>
              <w:t>Une note de synthèse du travail effectué doit être réalisée sous traitement de texte</w:t>
            </w:r>
          </w:p>
        </w:tc>
      </w:tr>
      <w:tr w:rsidR="00763CC9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C9" w:rsidRDefault="00007330" w:rsidP="00341EF9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S’APPROPRIER :</w:t>
            </w:r>
          </w:p>
          <w:p w:rsidR="007C69D9" w:rsidRDefault="007C69D9" w:rsidP="007C69D9">
            <w:pPr>
              <w:spacing w:before="120" w:after="120"/>
            </w:pPr>
            <w:r>
              <w:t>La synoptique des deux systèmes concernés par ces fiches d’intervention est donnée ci-dessous :</w:t>
            </w:r>
          </w:p>
          <w:p w:rsidR="007C69D9" w:rsidRDefault="007C69D9" w:rsidP="007C69D9">
            <w:pPr>
              <w:spacing w:after="120"/>
              <w:rPr>
                <w:b/>
              </w:rPr>
            </w:pPr>
            <w:r>
              <w:rPr>
                <w:b/>
              </w:rPr>
              <w:t>Système 1 :</w:t>
            </w:r>
          </w:p>
          <w:p w:rsidR="007C69D9" w:rsidRDefault="007C69D9" w:rsidP="007C69D9">
            <w:pPr>
              <w:spacing w:after="120"/>
              <w:jc w:val="center"/>
            </w:pPr>
            <w:r>
              <w:object w:dxaOrig="9150" w:dyaOrig="1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8pt;height:61pt" o:ole="">
                  <v:imagedata r:id="rId8" o:title=""/>
                </v:shape>
                <o:OLEObject Type="Embed" ProgID="Visio.Drawing.6" ShapeID="_x0000_i1025" DrawAspect="Content" ObjectID="_1316457773" r:id="rId9"/>
              </w:object>
            </w:r>
          </w:p>
          <w:p w:rsidR="007C69D9" w:rsidRDefault="007C69D9" w:rsidP="007C69D9">
            <w:pPr>
              <w:spacing w:after="120"/>
              <w:rPr>
                <w:b/>
              </w:rPr>
            </w:pPr>
            <w:r>
              <w:rPr>
                <w:b/>
              </w:rPr>
              <w:t>Système 2 :</w:t>
            </w:r>
          </w:p>
          <w:p w:rsidR="00185713" w:rsidRDefault="007C69D9" w:rsidP="007C69D9">
            <w:pPr>
              <w:spacing w:before="120" w:after="120"/>
              <w:jc w:val="center"/>
            </w:pPr>
            <w:r>
              <w:object w:dxaOrig="8160" w:dyaOrig="1215">
                <v:shape id="_x0000_i1026" type="#_x0000_t75" style="width:409pt;height:61pt" o:ole="">
                  <v:imagedata r:id="rId10" o:title=""/>
                </v:shape>
                <o:OLEObject Type="Embed" ProgID="Visio.Drawing.6" ShapeID="_x0000_i1026" DrawAspect="Content" ObjectID="_1316457774" r:id="rId11"/>
              </w:object>
            </w:r>
          </w:p>
          <w:p w:rsidR="007C69D9" w:rsidRDefault="007C69D9" w:rsidP="007C69D9">
            <w:pPr>
              <w:spacing w:after="120"/>
            </w:pPr>
          </w:p>
          <w:p w:rsidR="006833A0" w:rsidRDefault="006833A0" w:rsidP="007C69D9">
            <w:pPr>
              <w:spacing w:after="120"/>
            </w:pPr>
            <w:r>
              <w:t>En vous aidant de l’annexe :</w:t>
            </w:r>
          </w:p>
          <w:p w:rsidR="005567AA" w:rsidRDefault="007C69D9" w:rsidP="007C69D9">
            <w:pPr>
              <w:spacing w:after="120"/>
            </w:pPr>
            <w:r>
              <w:t>A.</w:t>
            </w:r>
            <w:r w:rsidR="006833A0">
              <w:t>1</w:t>
            </w:r>
            <w:r>
              <w:t xml:space="preserve"> Quelle est la différence entre un multimètre non RMS, RMS et TRMS ?</w:t>
            </w:r>
            <w:r w:rsidR="005567AA">
              <w:t xml:space="preserve"> </w:t>
            </w:r>
          </w:p>
          <w:p w:rsidR="005567AA" w:rsidRPr="00007330" w:rsidRDefault="005567AA" w:rsidP="006833A0">
            <w:pPr>
              <w:spacing w:before="120" w:after="120"/>
            </w:pPr>
            <w:r>
              <w:t>A.</w:t>
            </w:r>
            <w:r w:rsidR="006833A0">
              <w:t>2</w:t>
            </w:r>
            <w:r w:rsidR="007C69D9">
              <w:t xml:space="preserve"> Selon vous est-il nécessaire de connaitre la forme d’onde du signal pour vérifier la présence tension ?</w:t>
            </w:r>
          </w:p>
        </w:tc>
      </w:tr>
      <w:tr w:rsidR="001E717C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7C" w:rsidRDefault="007C69D9" w:rsidP="00341EF9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ANALYSER :</w:t>
            </w:r>
          </w:p>
          <w:p w:rsidR="006833A0" w:rsidRDefault="006833A0" w:rsidP="00185713">
            <w:pPr>
              <w:spacing w:before="120" w:after="120"/>
            </w:pPr>
            <w:r>
              <w:t>En vous aidant de la notice technique du multimètre MX 579 et de l’annexe</w:t>
            </w:r>
            <w:r w:rsidR="00B41171">
              <w:t> :</w:t>
            </w:r>
          </w:p>
          <w:p w:rsidR="00D03A7F" w:rsidRDefault="00D03A7F" w:rsidP="00185713">
            <w:pPr>
              <w:spacing w:before="120" w:after="120"/>
            </w:pPr>
            <w:r>
              <w:t>B.1 A quel type de multimètre appartient le MX 579 ? Pourra-t-il être utilisé pour tous les types de tensions ?</w:t>
            </w:r>
          </w:p>
          <w:p w:rsidR="00341EF9" w:rsidRPr="001E717C" w:rsidRDefault="00D03A7F" w:rsidP="00575D4E">
            <w:pPr>
              <w:spacing w:before="120" w:after="120"/>
            </w:pPr>
            <w:r>
              <w:t xml:space="preserve">B.2 </w:t>
            </w:r>
            <w:r w:rsidR="007C69D9">
              <w:t xml:space="preserve">Elaborer un protocole </w:t>
            </w:r>
            <w:r w:rsidR="00575D4E">
              <w:t>de mesures des</w:t>
            </w:r>
            <w:r w:rsidR="007C69D9">
              <w:t xml:space="preserve"> tension</w:t>
            </w:r>
            <w:r w:rsidR="00575D4E">
              <w:t>s</w:t>
            </w:r>
            <w:r w:rsidR="007C69D9">
              <w:t xml:space="preserve"> entre les différents éléments de chaque système.</w:t>
            </w:r>
          </w:p>
        </w:tc>
      </w:tr>
      <w:tr w:rsidR="007C69D9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D9" w:rsidRDefault="007C69D9" w:rsidP="00341EF9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REALISER ET VALIDER :</w:t>
            </w:r>
          </w:p>
          <w:p w:rsidR="007C69D9" w:rsidRPr="007C69D9" w:rsidRDefault="007C69D9" w:rsidP="007C69D9">
            <w:pPr>
              <w:spacing w:after="120"/>
            </w:pPr>
            <w:r w:rsidRPr="00286905">
              <w:t>Vérifier l</w:t>
            </w:r>
            <w:r>
              <w:t>es</w:t>
            </w:r>
            <w:r w:rsidRPr="00286905">
              <w:t xml:space="preserve"> </w:t>
            </w:r>
            <w:r>
              <w:t>protocoles élaborés</w:t>
            </w:r>
            <w:r w:rsidRPr="00286905">
              <w:t xml:space="preserve"> en</w:t>
            </w:r>
            <w:r>
              <w:t xml:space="preserve"> les </w:t>
            </w:r>
            <w:r w:rsidRPr="00286905">
              <w:t>testant</w:t>
            </w:r>
            <w:r>
              <w:t xml:space="preserve"> sur les deux systèmes qui sont câblés en fond de salle (</w:t>
            </w:r>
            <w:r w:rsidRPr="00795D6D">
              <w:rPr>
                <w:b/>
                <w:u w:val="single"/>
              </w:rPr>
              <w:t>uniquement en présence du professeur</w:t>
            </w:r>
            <w:r>
              <w:t>).</w:t>
            </w:r>
          </w:p>
        </w:tc>
      </w:tr>
      <w:tr w:rsidR="007C69D9" w:rsidTr="00AA6458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D9" w:rsidRDefault="007C69D9" w:rsidP="00341EF9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COMMUNIQUER :</w:t>
            </w:r>
          </w:p>
          <w:p w:rsidR="007C69D9" w:rsidRPr="007C69D9" w:rsidRDefault="007C69D9" w:rsidP="00575D4E">
            <w:pPr>
              <w:spacing w:before="120" w:after="120"/>
              <w:rPr>
                <w:b/>
              </w:rPr>
            </w:pPr>
            <w:r w:rsidRPr="007372B1">
              <w:t>Réaliser</w:t>
            </w:r>
            <w:r>
              <w:t xml:space="preserve"> sous traitement de texte pour chaque système, une fiche de dépannage décrivant le protocole à suivre </w:t>
            </w:r>
            <w:r w:rsidR="00575D4E">
              <w:t>pour mesurer les</w:t>
            </w:r>
            <w:r>
              <w:t xml:space="preserve"> tension</w:t>
            </w:r>
            <w:r w:rsidR="00575D4E">
              <w:t>s</w:t>
            </w:r>
            <w:r>
              <w:t xml:space="preserve"> entre les différents éléments.</w:t>
            </w:r>
            <w:r w:rsidR="00B41171">
              <w:t xml:space="preserve"> Vous indiquerez pour chaque mesure, le type de tension concernée, la grandeur mesurée</w:t>
            </w:r>
            <w:r w:rsidR="00B4491B">
              <w:t xml:space="preserve"> et sa valeur</w:t>
            </w:r>
            <w:r w:rsidR="00B41171">
              <w:t>, l’appareil utilisé ainsi que le câblage et le réglage.</w:t>
            </w:r>
          </w:p>
        </w:tc>
      </w:tr>
    </w:tbl>
    <w:p w:rsidR="001055F1" w:rsidRDefault="001055F1"/>
    <w:sectPr w:rsidR="001055F1" w:rsidSect="00C43CF2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508"/>
    <w:multiLevelType w:val="hybridMultilevel"/>
    <w:tmpl w:val="CDAE48EC"/>
    <w:lvl w:ilvl="0" w:tplc="040C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2308240B"/>
    <w:multiLevelType w:val="hybridMultilevel"/>
    <w:tmpl w:val="C2EEB06C"/>
    <w:lvl w:ilvl="0" w:tplc="368E5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56745"/>
    <w:multiLevelType w:val="hybridMultilevel"/>
    <w:tmpl w:val="F092A4CA"/>
    <w:lvl w:ilvl="0" w:tplc="14BA73B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75C49"/>
    <w:multiLevelType w:val="hybridMultilevel"/>
    <w:tmpl w:val="5E381698"/>
    <w:lvl w:ilvl="0" w:tplc="07CEB684">
      <w:numFmt w:val="bullet"/>
      <w:lvlText w:val="•"/>
      <w:lvlJc w:val="left"/>
      <w:pPr>
        <w:ind w:left="1040" w:hanging="360"/>
      </w:pPr>
      <w:rPr>
        <w:rFonts w:ascii="SymbolMT" w:eastAsia="SymbolMT" w:hAnsiTheme="minorHAnsi" w:cs="SymbolMT" w:hint="eastAsia"/>
        <w:sz w:val="20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2FA055DC"/>
    <w:multiLevelType w:val="hybridMultilevel"/>
    <w:tmpl w:val="48A8A1EA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F7A05"/>
    <w:multiLevelType w:val="hybridMultilevel"/>
    <w:tmpl w:val="449433B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929D2"/>
    <w:multiLevelType w:val="hybridMultilevel"/>
    <w:tmpl w:val="64AEF8D2"/>
    <w:lvl w:ilvl="0" w:tplc="C192874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62749"/>
    <w:multiLevelType w:val="hybridMultilevel"/>
    <w:tmpl w:val="5238915A"/>
    <w:lvl w:ilvl="0" w:tplc="AB66D950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25"/>
    <w:rsid w:val="00007330"/>
    <w:rsid w:val="0002480C"/>
    <w:rsid w:val="000774EE"/>
    <w:rsid w:val="00102193"/>
    <w:rsid w:val="001055F1"/>
    <w:rsid w:val="00172582"/>
    <w:rsid w:val="00172BED"/>
    <w:rsid w:val="00185713"/>
    <w:rsid w:val="001E717C"/>
    <w:rsid w:val="00213D3D"/>
    <w:rsid w:val="002634A6"/>
    <w:rsid w:val="00284268"/>
    <w:rsid w:val="002B224A"/>
    <w:rsid w:val="00341EF9"/>
    <w:rsid w:val="003439D7"/>
    <w:rsid w:val="003646D4"/>
    <w:rsid w:val="004162AE"/>
    <w:rsid w:val="00452A25"/>
    <w:rsid w:val="00493E45"/>
    <w:rsid w:val="004B234C"/>
    <w:rsid w:val="005567AA"/>
    <w:rsid w:val="00575D4E"/>
    <w:rsid w:val="005C2306"/>
    <w:rsid w:val="006833A0"/>
    <w:rsid w:val="006C5B7C"/>
    <w:rsid w:val="006F6B6E"/>
    <w:rsid w:val="0076000B"/>
    <w:rsid w:val="00763CC9"/>
    <w:rsid w:val="007C69D9"/>
    <w:rsid w:val="00815499"/>
    <w:rsid w:val="00852514"/>
    <w:rsid w:val="00854A17"/>
    <w:rsid w:val="008D076C"/>
    <w:rsid w:val="00977D1E"/>
    <w:rsid w:val="009A5998"/>
    <w:rsid w:val="00A51DB9"/>
    <w:rsid w:val="00AA6458"/>
    <w:rsid w:val="00AA76B7"/>
    <w:rsid w:val="00AB5186"/>
    <w:rsid w:val="00B41171"/>
    <w:rsid w:val="00B4491B"/>
    <w:rsid w:val="00B54C21"/>
    <w:rsid w:val="00C43CF2"/>
    <w:rsid w:val="00CF6E8A"/>
    <w:rsid w:val="00D03A7F"/>
    <w:rsid w:val="00D52973"/>
    <w:rsid w:val="00DC4B07"/>
    <w:rsid w:val="00E12665"/>
    <w:rsid w:val="00E434A9"/>
    <w:rsid w:val="00F37ABA"/>
    <w:rsid w:val="00F70B4A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25"/>
    <w:rPr>
      <w:rFonts w:ascii="Comic Sans MS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A25"/>
    <w:pPr>
      <w:spacing w:after="0"/>
      <w:jc w:val="both"/>
    </w:pPr>
    <w:rPr>
      <w:rFonts w:ascii="Comic Sans MS" w:hAnsi="Comic Sans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A25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6B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15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25"/>
    <w:rPr>
      <w:rFonts w:ascii="Comic Sans MS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A25"/>
    <w:pPr>
      <w:spacing w:after="0"/>
      <w:jc w:val="both"/>
    </w:pPr>
    <w:rPr>
      <w:rFonts w:ascii="Comic Sans MS" w:hAnsi="Comic Sans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A25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6B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15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emf"/><Relationship Id="rId9" Type="http://schemas.openxmlformats.org/officeDocument/2006/relationships/oleObject" Target="embeddings/oleObject1.bin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</dc:creator>
  <cp:lastModifiedBy>Marie</cp:lastModifiedBy>
  <cp:revision>2</cp:revision>
  <dcterms:created xsi:type="dcterms:W3CDTF">2013-10-06T19:56:00Z</dcterms:created>
  <dcterms:modified xsi:type="dcterms:W3CDTF">2013-10-06T19:56:00Z</dcterms:modified>
</cp:coreProperties>
</file>