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numPr>
          <w:ilvl w:val="1"/>
          <w:numId w:val="1"/>
        </w:numPr>
        <w:spacing w:before="200" w:after="120"/>
        <w:rPr/>
      </w:pPr>
      <w:r>
        <w:rPr/>
        <w:t xml:space="preserve">Grille d’évaluation des situations de CCF </w:t>
      </w:r>
    </w:p>
    <w:p>
      <w:pPr>
        <w:pStyle w:val="Normal"/>
        <w:rPr>
          <w:sz w:val="8"/>
        </w:rPr>
      </w:pPr>
      <w:r>
        <w:rPr>
          <w:sz w:val="8"/>
        </w:rPr>
      </w:r>
    </w:p>
    <w:tbl>
      <w:tblPr>
        <w:tblW w:w="8858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2"/>
        <w:gridCol w:w="3969"/>
        <w:gridCol w:w="1488"/>
        <w:gridCol w:w="1488"/>
      </w:tblGrid>
      <w:tr>
        <w:trPr>
          <w:trHeight w:val="532" w:hRule="atLeast"/>
          <w:cantSplit w:val="true"/>
        </w:trPr>
        <w:tc>
          <w:tcPr>
            <w:tcW w:w="88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GRILLE NATIONALE D’ÉVALUATION EN MATHÉMATIQUES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BTS XXX – Sous-épreuve EXX</w:t>
            </w:r>
          </w:p>
        </w:tc>
      </w:tr>
      <w:tr>
        <w:trPr>
          <w:trHeight w:val="546" w:hRule="atLeast"/>
          <w:cantSplit w:val="true"/>
        </w:trPr>
        <w:tc>
          <w:tcPr>
            <w:tcW w:w="5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NOM :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Prénom :</w:t>
            </w:r>
          </w:p>
        </w:tc>
      </w:tr>
      <w:tr>
        <w:trPr>
          <w:trHeight w:val="563" w:hRule="atLeast"/>
          <w:cantSplit w:val="true"/>
        </w:trPr>
        <w:tc>
          <w:tcPr>
            <w:tcW w:w="5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Situation d’évaluation n°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Date de l’évaluation :</w:t>
            </w:r>
          </w:p>
        </w:tc>
      </w:tr>
      <w:tr>
        <w:trPr>
          <w:trHeight w:val="272" w:hRule="atLeast"/>
          <w:cantSplit w:val="true"/>
        </w:trPr>
        <w:tc>
          <w:tcPr>
            <w:tcW w:w="88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1. Liste des contenus et capacités du programme évalués</w:t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Contenus</w:t>
            </w:r>
          </w:p>
        </w:tc>
        <w:tc>
          <w:tcPr>
            <w:tcW w:w="69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Capacités</w:t>
            </w:r>
          </w:p>
        </w:tc>
        <w:tc>
          <w:tcPr>
            <w:tcW w:w="69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  <w:cantSplit w:val="true"/>
        </w:trPr>
        <w:tc>
          <w:tcPr>
            <w:tcW w:w="88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2. Évaluation</w:t>
            </w:r>
            <w:r>
              <w:rPr>
                <w:rStyle w:val="Ancredenotedebasdepage"/>
                <w:b/>
                <w:bCs/>
              </w:rPr>
              <w:footnoteReference w:id="2"/>
            </w:r>
          </w:p>
        </w:tc>
      </w:tr>
      <w:tr>
        <w:trPr/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Compétences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Capacités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Questions de l’énoncé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Appréciation du niveau d’acquisition</w:t>
            </w:r>
            <w:r>
              <w:rPr>
                <w:rStyle w:val="Ancredenotedebasdepage"/>
              </w:rPr>
              <w:footnoteReference w:id="3"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</w:rPr>
              <w:t>S’informer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Rechercher, extraire et organiser l’information.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</w:rPr>
              <w:t>Chercher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Proposer une méthode de résolution.</w:t>
            </w:r>
          </w:p>
          <w:p>
            <w:pPr>
              <w:pStyle w:val="Normal"/>
              <w:jc w:val="left"/>
              <w:rPr/>
            </w:pPr>
            <w:r>
              <w:rPr/>
              <w:t>Expérimenter, tester, conjecturer.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</w:rPr>
              <w:t>Modéliser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Représenter une situation ou des objets du monde réel.</w:t>
            </w:r>
          </w:p>
          <w:p>
            <w:pPr>
              <w:pStyle w:val="Normal"/>
              <w:jc w:val="left"/>
              <w:rPr/>
            </w:pPr>
            <w:r>
              <w:rPr/>
              <w:t>Traduire un problème en langage mathématique.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</w:rPr>
              <w:t>Raisonner, argumenter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Déduire, induire, justifier ou démontrer un résultat. Critiquer une démarche, un résultat.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</w:rPr>
              <w:t>Calculer, illustrer, mettre en œuvre une stratégie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Calculer, illustrer à la main ou à l’aide d’outils numériques, programmer.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bCs/>
              </w:rPr>
              <w:t>Communiquer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left"/>
              <w:rPr/>
            </w:pPr>
            <w:r>
              <w:rPr/>
              <w:t>Rendre compte d’une démarche, d’un résultat, à l’oral ou à l’écrit.</w:t>
            </w:r>
          </w:p>
          <w:p>
            <w:pPr>
              <w:pStyle w:val="Normal"/>
              <w:jc w:val="left"/>
              <w:rPr/>
            </w:pPr>
            <w:r>
              <w:rPr/>
              <w:t>Présenter un tableau, une figure, une représentation graphique.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912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69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8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TOTAL</w:t>
            </w:r>
          </w:p>
        </w:tc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/>
            </w:pPr>
            <w:bookmarkStart w:id="0" w:name="modules"/>
            <w:bookmarkEnd w:id="0"/>
            <w:r>
              <w:rPr>
                <w:b/>
                <w:bCs/>
              </w:rPr>
              <w:t>/ 10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sz w:val="18"/>
          <w:szCs w:val="18"/>
        </w:rPr>
        <w:footnoteRef/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Des appels (2 au maximum) permettent de s’assurer de la compréhension du problème et d’évaluer la communication orale et les capacités liées à l’usage des outils numériques.</w:t>
      </w:r>
    </w:p>
    <w:p>
      <w:pPr>
        <w:pStyle w:val="Footnotetext"/>
        <w:rPr/>
      </w:pPr>
      <w:r>
        <w:rPr>
          <w:sz w:val="18"/>
          <w:szCs w:val="18"/>
        </w:rPr>
        <w:tab/>
        <w:t>Sur les 10 points, 3 points sont consacrés à l’évaluation de l’utilisation des outils numériques dans le cadre de différentes compétences.</w:t>
      </w:r>
    </w:p>
  </w:footnote>
  <w:footnote w:id="3">
    <w:p>
      <w:pPr>
        <w:pStyle w:val="Footnotetext"/>
        <w:rPr/>
      </w:pPr>
      <w:r>
        <w:rPr>
          <w:rStyle w:val="Footnotereference"/>
          <w:sz w:val="18"/>
          <w:szCs w:val="18"/>
        </w:rPr>
        <w:footnoteRef/>
        <w:tab/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Le professeur peut utiliser toute forme d’annotation lui permettant d’évaluer par compétences.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" w:cs="Droid Sans Devanagari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Arial" w:cs="Droid Sans Devanagari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next w:val="Corpsdetexte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itre2">
    <w:name w:val="Titre 2"/>
    <w:basedOn w:val="Titre"/>
    <w:next w:val="Corpsdetexte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Titre 3"/>
    <w:basedOn w:val="Titre"/>
    <w:next w:val="Corpsdetexte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Arial" w:cs="Droid Sans Devanagari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Droid Sans Devanagari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  <w:style w:type="paragraph" w:styleId="Notedebasdepage">
    <w:name w:val="Note de bas de page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/>
    <w:rPr>
      <w:rFonts w:ascii="Arial" w:hAnsi="Arial" w:cs="Arial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LibreOffice/5.0.0.5$Linux_X86_64 LibreOffice_project/437e4abdf9e72fd0a6e6f8697a0e659bc77f9b10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2015-09-30T09:33:14Z</dcterms:created>
  <dc:creator>Robert CABANE</dc:creator>
  <dc:language>fr-FR</dc:language>
  <cp:lastModifiedBy>Robert CABANE</cp:lastModifiedBy>
  <dcterms:modified xsi:type="dcterms:W3CDTF">2015-09-30T09:34:19Z</dcterms:modified>
  <cp:revision>1</cp:revision>
</cp:coreProperties>
</file>