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78" w:rsidRPr="00745AC6" w:rsidRDefault="00F31E78" w:rsidP="00745AC6">
      <w:pPr>
        <w:pStyle w:val="TitreDossier"/>
        <w:rPr>
          <w:sz w:val="36"/>
        </w:rPr>
      </w:pPr>
      <w:r w:rsidRPr="00745AC6">
        <w:rPr>
          <w:sz w:val="36"/>
        </w:rPr>
        <w:t>Charte de validation d’un atelier rédactionnel</w:t>
      </w:r>
    </w:p>
    <w:p w:rsidR="00F31E78" w:rsidRDefault="00F31E78" w:rsidP="00CE6D11">
      <w:pPr>
        <w:jc w:val="both"/>
        <w:rPr>
          <w:rFonts w:ascii="Times" w:hAnsi="Times"/>
          <w:szCs w:val="20"/>
        </w:rPr>
      </w:pPr>
    </w:p>
    <w:p w:rsidR="00F31E78" w:rsidRPr="00745AC6" w:rsidRDefault="00F31E78" w:rsidP="00CE6D11">
      <w:pPr>
        <w:jc w:val="both"/>
        <w:rPr>
          <w:rFonts w:ascii="Times" w:hAnsi="Times"/>
          <w:szCs w:val="20"/>
        </w:rPr>
      </w:pPr>
    </w:p>
    <w:p w:rsidR="00F31E78" w:rsidRPr="00745AC6" w:rsidRDefault="00F31E78" w:rsidP="00745AC6">
      <w:pPr>
        <w:spacing w:after="0"/>
        <w:jc w:val="both"/>
        <w:rPr>
          <w:rFonts w:ascii="Times" w:hAnsi="Times"/>
          <w:i/>
          <w:szCs w:val="20"/>
        </w:rPr>
      </w:pPr>
      <w:r w:rsidRPr="00745AC6">
        <w:rPr>
          <w:rFonts w:ascii="Times" w:hAnsi="Times"/>
          <w:i/>
          <w:szCs w:val="20"/>
        </w:rPr>
        <w:t xml:space="preserve">Cette charte est le fruit d’une réflexion menée lors de l’atelier du 11 mai, impliquant l’ensemble des IEN et des formateurs lettres présents. </w:t>
      </w:r>
    </w:p>
    <w:p w:rsidR="00F31E78" w:rsidRPr="00745AC6" w:rsidRDefault="00F31E78" w:rsidP="00745AC6">
      <w:pPr>
        <w:spacing w:after="0"/>
        <w:jc w:val="both"/>
        <w:rPr>
          <w:rFonts w:ascii="Times" w:hAnsi="Times"/>
          <w:szCs w:val="20"/>
        </w:rPr>
      </w:pPr>
    </w:p>
    <w:p w:rsidR="00F31E78" w:rsidRDefault="00F31E78" w:rsidP="001E2DDF">
      <w:pPr>
        <w:spacing w:after="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Pour mettre en place un atelier rédactionnel (du côté des enseignants) ou pour valider un projet d’atelier rédactionnel (inspecteur, équipe de direction), chacune des rubriques « intervenants », « organisation horaire », « objectifs », « démarches », « pistes de travail » ci-dessous doit être prise en compte.</w:t>
      </w:r>
    </w:p>
    <w:p w:rsidR="00F31E78" w:rsidRPr="00745AC6" w:rsidRDefault="00F31E78" w:rsidP="001E2DDF">
      <w:pPr>
        <w:spacing w:before="360" w:after="240" w:line="240" w:lineRule="auto"/>
        <w:rPr>
          <w:rFonts w:ascii="Times New Roman" w:hAnsi="Times New Roman"/>
          <w:b/>
          <w:color w:val="CC0066"/>
          <w:sz w:val="28"/>
          <w:szCs w:val="24"/>
          <w:lang w:eastAsia="fr-FR"/>
        </w:rPr>
      </w:pPr>
      <w:r w:rsidRPr="00745AC6">
        <w:rPr>
          <w:rFonts w:ascii="Times New Roman" w:hAnsi="Times New Roman"/>
          <w:b/>
          <w:color w:val="CC0066"/>
          <w:sz w:val="28"/>
          <w:szCs w:val="24"/>
          <w:lang w:eastAsia="fr-FR"/>
        </w:rPr>
        <w:t>Références</w:t>
      </w:r>
    </w:p>
    <w:p w:rsidR="00F31E78" w:rsidRPr="00745AC6" w:rsidRDefault="00F31E78" w:rsidP="001E2DDF">
      <w:pPr>
        <w:spacing w:after="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BO n° 6 du 9 février 2012 </w:t>
      </w:r>
    </w:p>
    <w:p w:rsidR="00F31E78" w:rsidRPr="00745AC6" w:rsidRDefault="00F31E78" w:rsidP="001E2DDF">
      <w:pPr>
        <w:spacing w:after="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Annexe III c : Savoirs rédactionnels</w:t>
      </w:r>
    </w:p>
    <w:p w:rsidR="00F31E78" w:rsidRDefault="00F31E78" w:rsidP="001E2DDF">
      <w:pPr>
        <w:spacing w:after="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Référentiel des Activités Professionnelles p. 122 – 123 </w:t>
      </w:r>
    </w:p>
    <w:p w:rsidR="00F31E78" w:rsidRPr="00745AC6" w:rsidRDefault="00F31E78" w:rsidP="001E2DDF">
      <w:pPr>
        <w:spacing w:before="360" w:after="240" w:line="240" w:lineRule="auto"/>
        <w:rPr>
          <w:rFonts w:ascii="Times New Roman" w:hAnsi="Times New Roman"/>
          <w:b/>
          <w:color w:val="CC0066"/>
          <w:sz w:val="28"/>
          <w:szCs w:val="24"/>
          <w:lang w:eastAsia="fr-FR"/>
        </w:rPr>
      </w:pPr>
      <w:r w:rsidRPr="00745AC6">
        <w:rPr>
          <w:rFonts w:ascii="Times New Roman" w:hAnsi="Times New Roman"/>
          <w:b/>
          <w:color w:val="CC0066"/>
          <w:sz w:val="28"/>
          <w:szCs w:val="24"/>
          <w:lang w:eastAsia="fr-FR"/>
        </w:rPr>
        <w:t>Intervenants</w:t>
      </w:r>
    </w:p>
    <w:p w:rsidR="00F31E78" w:rsidRPr="00745AC6" w:rsidRDefault="00F31E78" w:rsidP="00CE6D11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Le professeur de français est sollicité par son collègue d’économie</w:t>
      </w:r>
      <w:r>
        <w:rPr>
          <w:rFonts w:ascii="Times" w:hAnsi="Times"/>
          <w:szCs w:val="20"/>
        </w:rPr>
        <w:t>-</w:t>
      </w:r>
      <w:r w:rsidRPr="00745AC6">
        <w:rPr>
          <w:rFonts w:ascii="Times" w:hAnsi="Times"/>
          <w:szCs w:val="20"/>
        </w:rPr>
        <w:t xml:space="preserve">gestion ; il ne peut refuser de participer à un atelier rédactionnel au prétexte qu’il ne relèverait pas de son enseignement disciplinaire.  </w:t>
      </w:r>
    </w:p>
    <w:p w:rsidR="00F31E78" w:rsidRPr="00745AC6" w:rsidRDefault="00F31E78" w:rsidP="00CE6D11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Le professeur de français intervient dans un atelier rédactionnel dans le cadre d’une situation professionnelle définie par son collègue d’économie-gestion à partir du référentiel propre à cette discipline. </w:t>
      </w:r>
      <w:r w:rsidRPr="00745AC6">
        <w:rPr>
          <w:rFonts w:ascii="Times" w:hAnsi="Times"/>
          <w:b/>
          <w:szCs w:val="20"/>
        </w:rPr>
        <w:t>Un travail commun autour du scénario pédagogique est recommandé, et indispensable pour la construction des activités de l’atelier rédactionnel</w:t>
      </w:r>
      <w:r w:rsidRPr="00745AC6">
        <w:rPr>
          <w:rFonts w:ascii="Times" w:hAnsi="Times"/>
          <w:szCs w:val="20"/>
        </w:rPr>
        <w:t xml:space="preserve">. </w:t>
      </w:r>
    </w:p>
    <w:p w:rsidR="00F31E78" w:rsidRPr="00745AC6" w:rsidRDefault="00F31E78" w:rsidP="001E2DDF">
      <w:pPr>
        <w:spacing w:before="360" w:after="240" w:line="240" w:lineRule="auto"/>
        <w:rPr>
          <w:rFonts w:ascii="Times New Roman" w:hAnsi="Times New Roman"/>
          <w:b/>
          <w:color w:val="CC0066"/>
          <w:sz w:val="28"/>
          <w:szCs w:val="24"/>
          <w:lang w:eastAsia="fr-FR"/>
        </w:rPr>
      </w:pPr>
      <w:r w:rsidRPr="00745AC6">
        <w:rPr>
          <w:rFonts w:ascii="Times New Roman" w:hAnsi="Times New Roman"/>
          <w:b/>
          <w:color w:val="CC0066"/>
          <w:sz w:val="28"/>
          <w:szCs w:val="24"/>
          <w:lang w:eastAsia="fr-FR"/>
        </w:rPr>
        <w:t>Organisation horaire</w:t>
      </w:r>
    </w:p>
    <w:p w:rsidR="00F31E78" w:rsidRPr="00745AC6" w:rsidRDefault="00F31E78" w:rsidP="004D0E7C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Dans tous les cas, la souplesse dans la gestion des heures est recommandée.</w:t>
      </w:r>
    </w:p>
    <w:p w:rsidR="00F31E78" w:rsidRPr="00745AC6" w:rsidRDefault="00F31E78" w:rsidP="004D0E7C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Les heures d’Enseignement Général Lié à </w:t>
      </w:r>
      <w:smartTag w:uri="urn:schemas-microsoft-com:office:smarttags" w:element="PersonName">
        <w:smartTagPr>
          <w:attr w:name="ProductID" w:val="la Spécialité"/>
        </w:smartTagPr>
        <w:r w:rsidRPr="00745AC6">
          <w:rPr>
            <w:rFonts w:ascii="Times" w:hAnsi="Times"/>
            <w:szCs w:val="20"/>
          </w:rPr>
          <w:t>la Spécialité</w:t>
        </w:r>
      </w:smartTag>
      <w:r w:rsidRPr="00745AC6">
        <w:rPr>
          <w:rFonts w:ascii="Times" w:hAnsi="Times"/>
          <w:szCs w:val="20"/>
        </w:rPr>
        <w:t xml:space="preserve"> (EGLS) sont celles qui permettent le plus facilement l’implication du professeur de français dans les ateliers rédactionnels. </w:t>
      </w:r>
    </w:p>
    <w:p w:rsidR="00F31E78" w:rsidRPr="00745AC6" w:rsidRDefault="00F31E78" w:rsidP="004D0E7C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L’articulation aux Périodes de Formation en Milieu Professionnel peut être judicieuse.  </w:t>
      </w:r>
    </w:p>
    <w:p w:rsidR="00F31E78" w:rsidRPr="00745AC6" w:rsidRDefault="00F31E78" w:rsidP="001E2DDF">
      <w:pPr>
        <w:spacing w:before="360" w:after="240" w:line="240" w:lineRule="auto"/>
        <w:rPr>
          <w:rFonts w:ascii="Times New Roman" w:hAnsi="Times New Roman"/>
          <w:b/>
          <w:color w:val="CC0066"/>
          <w:sz w:val="28"/>
          <w:szCs w:val="24"/>
          <w:lang w:eastAsia="fr-FR"/>
        </w:rPr>
      </w:pPr>
      <w:r w:rsidRPr="00745AC6">
        <w:rPr>
          <w:rFonts w:ascii="Times New Roman" w:hAnsi="Times New Roman"/>
          <w:b/>
          <w:color w:val="CC0066"/>
          <w:sz w:val="28"/>
          <w:szCs w:val="24"/>
          <w:lang w:eastAsia="fr-FR"/>
        </w:rPr>
        <w:t>Objectifs</w:t>
      </w:r>
    </w:p>
    <w:p w:rsidR="00F31E78" w:rsidRPr="00745AC6" w:rsidRDefault="00F31E78" w:rsidP="00DB7A2E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L’intervention du professeur de français vise à aider les élèves à acquérir des compétences professionnelles et tout particulièrement à maîtriser les différents genres d’écrits professionnels cités dans le référentiel professionnel (BO n° 6 du 9 février 2012 – Annexe III c : Savoirs rédactionnels). </w:t>
      </w:r>
    </w:p>
    <w:p w:rsidR="00F31E78" w:rsidRPr="00745AC6" w:rsidRDefault="00F31E78" w:rsidP="005345AE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Le professeur de français intervient dans les domaines </w:t>
      </w:r>
      <w:r w:rsidRPr="00745AC6">
        <w:rPr>
          <w:rFonts w:ascii="Times" w:hAnsi="Times"/>
          <w:b/>
          <w:szCs w:val="20"/>
        </w:rPr>
        <w:t>propres à sa discipline </w:t>
      </w:r>
      <w:r w:rsidRPr="00745AC6">
        <w:rPr>
          <w:rFonts w:ascii="Times" w:hAnsi="Times"/>
          <w:szCs w:val="20"/>
        </w:rPr>
        <w:t xml:space="preserve">afin de travailler  les </w:t>
      </w:r>
      <w:r w:rsidRPr="00745AC6">
        <w:rPr>
          <w:rFonts w:ascii="Times" w:hAnsi="Times"/>
          <w:b/>
          <w:szCs w:val="20"/>
        </w:rPr>
        <w:t xml:space="preserve">capacités et les connaissances linguistiques mentionnées dans le programme de baccalauréat professionnel ou les compétences du Socle commun </w:t>
      </w:r>
      <w:r w:rsidRPr="00745AC6">
        <w:rPr>
          <w:rFonts w:ascii="Times" w:hAnsi="Times"/>
          <w:szCs w:val="20"/>
        </w:rPr>
        <w:t xml:space="preserve">des connaissances et des compétences. Sa participation ne saurait se limiter à des tâches stéréotypées de type « correction orthographique ». </w:t>
      </w:r>
    </w:p>
    <w:p w:rsidR="00F31E78" w:rsidRPr="00745AC6" w:rsidRDefault="00F31E78" w:rsidP="008B123A">
      <w:pPr>
        <w:jc w:val="both"/>
        <w:rPr>
          <w:rFonts w:ascii="Times" w:hAnsi="Times"/>
          <w:i/>
          <w:szCs w:val="20"/>
        </w:rPr>
      </w:pPr>
      <w:r w:rsidRPr="00745AC6">
        <w:rPr>
          <w:rFonts w:ascii="Times" w:hAnsi="Times"/>
          <w:i/>
          <w:szCs w:val="20"/>
        </w:rPr>
        <w:lastRenderedPageBreak/>
        <w:t xml:space="preserve">NB. Les heures dédiées aux ateliers rédactionnels ne sont pas destinées à travailler le programme spécifique de français ou d’histoire-géographie ; elles ne peuvent pas non plus être utilisées à « recycler »  des cours sur la communication. </w:t>
      </w:r>
      <w:r w:rsidRPr="00745AC6">
        <w:rPr>
          <w:rFonts w:ascii="Times" w:hAnsi="Times"/>
          <w:b/>
          <w:i/>
          <w:szCs w:val="20"/>
        </w:rPr>
        <w:t>En revanche, les ateliers rédactionnels ne peuvent en aucun cas se substituer aux heures de lettres-histoire-géographie-éducation civique (</w:t>
      </w:r>
      <w:r w:rsidRPr="00745AC6">
        <w:rPr>
          <w:rFonts w:ascii="Times" w:hAnsi="Times"/>
          <w:i/>
          <w:szCs w:val="20"/>
        </w:rPr>
        <w:t>horaire élève à titre indicatif de 126 h / année ; 380 heures sur les trois années).</w:t>
      </w:r>
    </w:p>
    <w:p w:rsidR="00F31E78" w:rsidRPr="00745AC6" w:rsidRDefault="00F31E78" w:rsidP="001E2DDF">
      <w:pPr>
        <w:spacing w:before="360" w:after="240" w:line="240" w:lineRule="auto"/>
        <w:rPr>
          <w:rFonts w:ascii="Times New Roman" w:hAnsi="Times New Roman"/>
          <w:b/>
          <w:color w:val="CC0066"/>
          <w:sz w:val="28"/>
          <w:szCs w:val="24"/>
          <w:lang w:eastAsia="fr-FR"/>
        </w:rPr>
      </w:pPr>
      <w:r w:rsidRPr="00745AC6">
        <w:rPr>
          <w:rFonts w:ascii="Times New Roman" w:hAnsi="Times New Roman"/>
          <w:b/>
          <w:color w:val="CC0066"/>
          <w:sz w:val="28"/>
          <w:szCs w:val="24"/>
          <w:lang w:eastAsia="fr-FR"/>
        </w:rPr>
        <w:t>Démarches</w:t>
      </w:r>
    </w:p>
    <w:p w:rsidR="00F31E78" w:rsidRPr="00745AC6" w:rsidRDefault="00F31E78" w:rsidP="005E6479">
      <w:pPr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Les travaux à mener correspondent à des mises en activité et non à des travaux théoriques.  Il est recommandé de promouvoir les activités inductives et de diversifier les démarches et les modalités de fonctionnement : </w:t>
      </w:r>
    </w:p>
    <w:p w:rsidR="00F31E78" w:rsidRPr="00745AC6" w:rsidRDefault="00F31E78" w:rsidP="00745AC6">
      <w:pPr>
        <w:pStyle w:val="Paragraphedeliste"/>
        <w:numPr>
          <w:ilvl w:val="0"/>
          <w:numId w:val="2"/>
        </w:numPr>
        <w:spacing w:after="0"/>
        <w:ind w:left="540" w:hanging="180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observation, analyse ;</w:t>
      </w:r>
    </w:p>
    <w:p w:rsidR="00F31E78" w:rsidRPr="00745AC6" w:rsidRDefault="00F31E78" w:rsidP="00745AC6">
      <w:pPr>
        <w:pStyle w:val="Paragraphedeliste"/>
        <w:numPr>
          <w:ilvl w:val="0"/>
          <w:numId w:val="2"/>
        </w:numPr>
        <w:spacing w:after="0"/>
        <w:ind w:left="540" w:hanging="180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simulation ;</w:t>
      </w:r>
    </w:p>
    <w:p w:rsidR="00F31E78" w:rsidRPr="00745AC6" w:rsidRDefault="00F31E78" w:rsidP="00745AC6">
      <w:pPr>
        <w:pStyle w:val="Paragraphedeliste"/>
        <w:numPr>
          <w:ilvl w:val="0"/>
          <w:numId w:val="2"/>
        </w:numPr>
        <w:spacing w:after="0"/>
        <w:ind w:left="540" w:hanging="180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production ;</w:t>
      </w:r>
    </w:p>
    <w:p w:rsidR="00F31E78" w:rsidRPr="00745AC6" w:rsidRDefault="00F31E78" w:rsidP="00745AC6">
      <w:pPr>
        <w:pStyle w:val="Paragraphedeliste"/>
        <w:numPr>
          <w:ilvl w:val="0"/>
          <w:numId w:val="2"/>
        </w:numPr>
        <w:spacing w:after="0"/>
        <w:ind w:left="540" w:hanging="180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transposition ;</w:t>
      </w:r>
    </w:p>
    <w:p w:rsidR="00F31E78" w:rsidRPr="00745AC6" w:rsidRDefault="00F31E78" w:rsidP="00745AC6">
      <w:pPr>
        <w:pStyle w:val="Paragraphedeliste"/>
        <w:numPr>
          <w:ilvl w:val="0"/>
          <w:numId w:val="2"/>
        </w:numPr>
        <w:spacing w:before="240" w:after="0"/>
        <w:ind w:left="540" w:hanging="180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reformulation. </w:t>
      </w:r>
    </w:p>
    <w:p w:rsidR="00F31E78" w:rsidRPr="00745AC6" w:rsidRDefault="00F31E78" w:rsidP="005E6479">
      <w:pPr>
        <w:spacing w:before="24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La durée des mises en activité, l’organisation en séance(s) formant ou non une séquence, la co-animation effective ou l’animation par chacun des enseignants l’un à la suite de l’autre sont laissées à l’initiative des enseignants et de l’établissement. </w:t>
      </w:r>
    </w:p>
    <w:p w:rsidR="00F31E78" w:rsidRPr="00745AC6" w:rsidRDefault="00F31E78" w:rsidP="005E6479">
      <w:pPr>
        <w:spacing w:before="24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Une progression des apprentissages sur les trois années de baccalauréat, laissée à l’initiative des enseignants, est indispensable et doit être pensée avec le professeur de la spécialité. </w:t>
      </w:r>
    </w:p>
    <w:p w:rsidR="00F31E78" w:rsidRPr="00745AC6" w:rsidRDefault="00F31E78" w:rsidP="001E2DDF">
      <w:pPr>
        <w:spacing w:before="360" w:after="240" w:line="240" w:lineRule="auto"/>
        <w:rPr>
          <w:rFonts w:ascii="Times New Roman" w:hAnsi="Times New Roman"/>
          <w:b/>
          <w:color w:val="CC0066"/>
          <w:sz w:val="28"/>
          <w:szCs w:val="24"/>
          <w:lang w:eastAsia="fr-FR"/>
        </w:rPr>
      </w:pPr>
      <w:r w:rsidRPr="00745AC6">
        <w:rPr>
          <w:rFonts w:ascii="Times New Roman" w:hAnsi="Times New Roman"/>
          <w:b/>
          <w:color w:val="CC0066"/>
          <w:sz w:val="28"/>
          <w:szCs w:val="24"/>
          <w:lang w:eastAsia="fr-FR"/>
        </w:rPr>
        <w:t xml:space="preserve">Pistes de travail  </w:t>
      </w:r>
    </w:p>
    <w:p w:rsidR="00F31E78" w:rsidRPr="00745AC6" w:rsidRDefault="00F31E78" w:rsidP="005E6479">
      <w:pPr>
        <w:pStyle w:val="Paragraphedeliste"/>
        <w:numPr>
          <w:ilvl w:val="0"/>
          <w:numId w:val="3"/>
        </w:numPr>
        <w:ind w:left="540" w:hanging="18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La lecture rapide. </w:t>
      </w:r>
    </w:p>
    <w:p w:rsidR="00F31E78" w:rsidRPr="00745AC6" w:rsidRDefault="00F31E78" w:rsidP="005E6479">
      <w:pPr>
        <w:pStyle w:val="Paragraphedeliste"/>
        <w:numPr>
          <w:ilvl w:val="0"/>
          <w:numId w:val="3"/>
        </w:numPr>
        <w:ind w:left="540" w:hanging="18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 xml:space="preserve">La prise de notes sous toutes ses formes. </w:t>
      </w:r>
    </w:p>
    <w:p w:rsidR="00F31E78" w:rsidRPr="00745AC6" w:rsidRDefault="00F31E78" w:rsidP="005E6479">
      <w:pPr>
        <w:pStyle w:val="Paragraphedeliste"/>
        <w:numPr>
          <w:ilvl w:val="0"/>
          <w:numId w:val="3"/>
        </w:numPr>
        <w:ind w:left="540" w:hanging="18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La sélection et la hiérarchisation des informations.</w:t>
      </w:r>
    </w:p>
    <w:p w:rsidR="00F31E78" w:rsidRPr="00745AC6" w:rsidRDefault="00F31E78" w:rsidP="005E6479">
      <w:pPr>
        <w:pStyle w:val="Paragraphedeliste"/>
        <w:numPr>
          <w:ilvl w:val="0"/>
          <w:numId w:val="3"/>
        </w:numPr>
        <w:ind w:left="540" w:hanging="18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L’analyse des discours et le maniement de la langue : reformulation et explicitation (mise en schéma et mise en texte), précision lexicale, concision…</w:t>
      </w:r>
    </w:p>
    <w:p w:rsidR="00F31E78" w:rsidRPr="00745AC6" w:rsidRDefault="00F31E78" w:rsidP="005E6479">
      <w:pPr>
        <w:pStyle w:val="Paragraphedeliste"/>
        <w:numPr>
          <w:ilvl w:val="0"/>
          <w:numId w:val="3"/>
        </w:numPr>
        <w:ind w:left="540" w:hanging="18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L’analyse des discours et la mise à distance de la langue : le discours rapporté, l’expression de l’ordre, l’atténuation, la connotation …</w:t>
      </w:r>
    </w:p>
    <w:p w:rsidR="00F31E78" w:rsidRPr="00745AC6" w:rsidRDefault="00F31E78" w:rsidP="005E6479">
      <w:pPr>
        <w:pStyle w:val="Paragraphedeliste"/>
        <w:numPr>
          <w:ilvl w:val="0"/>
          <w:numId w:val="3"/>
        </w:numPr>
        <w:spacing w:after="0"/>
        <w:ind w:left="540" w:hanging="18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L’écriture et la production de textes : pratique de l’écriture « longue », de la réécriture ; mise en avant de l’objectivité ou de la subjectivité…</w:t>
      </w:r>
    </w:p>
    <w:p w:rsidR="00F31E78" w:rsidRPr="00745AC6" w:rsidRDefault="00F31E78" w:rsidP="005E6479">
      <w:pPr>
        <w:pStyle w:val="Paragraphedeliste"/>
        <w:numPr>
          <w:ilvl w:val="0"/>
          <w:numId w:val="3"/>
        </w:numPr>
        <w:spacing w:after="0"/>
        <w:ind w:left="540" w:hanging="180"/>
        <w:jc w:val="both"/>
        <w:rPr>
          <w:rFonts w:ascii="Times" w:hAnsi="Times"/>
          <w:szCs w:val="20"/>
        </w:rPr>
      </w:pPr>
      <w:r w:rsidRPr="00745AC6">
        <w:rPr>
          <w:rFonts w:ascii="Times" w:hAnsi="Times"/>
          <w:szCs w:val="20"/>
        </w:rPr>
        <w:t>La cohérence du texte.</w:t>
      </w:r>
    </w:p>
    <w:p w:rsidR="00F31E78" w:rsidRPr="005E6479" w:rsidRDefault="00F31E78" w:rsidP="005E6479">
      <w:pPr>
        <w:pStyle w:val="Paragraphedeliste"/>
        <w:numPr>
          <w:ilvl w:val="0"/>
          <w:numId w:val="3"/>
        </w:numPr>
        <w:spacing w:after="0"/>
        <w:ind w:left="540" w:hanging="180"/>
        <w:jc w:val="both"/>
        <w:rPr>
          <w:rFonts w:ascii="Times New Roman" w:hAnsi="Times New Roman"/>
          <w:szCs w:val="20"/>
        </w:rPr>
      </w:pPr>
      <w:r w:rsidRPr="00745AC6">
        <w:rPr>
          <w:rFonts w:ascii="Times" w:hAnsi="Times"/>
          <w:szCs w:val="20"/>
        </w:rPr>
        <w:t xml:space="preserve">L’étude du lexique : repérage des champs lexicaux dominants ; vocabulaire valorisant, dévalorisant ; </w:t>
      </w:r>
      <w:r w:rsidRPr="005E6479">
        <w:rPr>
          <w:rFonts w:ascii="Times New Roman" w:hAnsi="Times New Roman"/>
          <w:szCs w:val="20"/>
        </w:rPr>
        <w:t>marques de l’atténuation ; jeux sur les sonorités ; la polysémie, l’antonymie…</w:t>
      </w:r>
    </w:p>
    <w:p w:rsidR="00F31E78" w:rsidRPr="005E6479" w:rsidRDefault="00F31E78" w:rsidP="005E6479">
      <w:pPr>
        <w:pStyle w:val="Paragraphedeliste"/>
        <w:numPr>
          <w:ilvl w:val="0"/>
          <w:numId w:val="3"/>
        </w:numPr>
        <w:spacing w:after="0"/>
        <w:ind w:left="540" w:hanging="180"/>
        <w:jc w:val="both"/>
        <w:rPr>
          <w:rFonts w:ascii="Times New Roman" w:hAnsi="Times New Roman"/>
          <w:szCs w:val="20"/>
        </w:rPr>
      </w:pPr>
      <w:r w:rsidRPr="005E6479">
        <w:rPr>
          <w:rFonts w:ascii="Times New Roman" w:hAnsi="Times New Roman"/>
          <w:szCs w:val="20"/>
        </w:rPr>
        <w:t>La construction des phrases, le lexique et la syntaxe (construction des verbes relevant du vocabulaire technique, par exemple).</w:t>
      </w:r>
    </w:p>
    <w:p w:rsidR="00F31E78" w:rsidRPr="005E6479" w:rsidRDefault="00F31E78" w:rsidP="005E6479">
      <w:pPr>
        <w:pStyle w:val="Paragraphedeliste"/>
        <w:numPr>
          <w:ilvl w:val="0"/>
          <w:numId w:val="3"/>
        </w:numPr>
        <w:spacing w:after="0"/>
        <w:ind w:left="540" w:hanging="180"/>
        <w:jc w:val="both"/>
        <w:rPr>
          <w:rFonts w:ascii="Times New Roman" w:hAnsi="Times New Roman"/>
        </w:rPr>
      </w:pPr>
      <w:r w:rsidRPr="005E6479">
        <w:rPr>
          <w:rFonts w:ascii="Times New Roman" w:hAnsi="Times New Roman"/>
        </w:rPr>
        <w:t xml:space="preserve">L’argumentation écrite ou orale en réception (analyse d’un document d’entreprise sous l’angle de l’énonciation, du lexique, de l’organisation) et/ou  en production: choix et classement des arguments (valeur, types d’arguments…) ; changement de destinataire. </w:t>
      </w:r>
    </w:p>
    <w:sectPr w:rsidR="00F31E78" w:rsidRPr="005E6479" w:rsidSect="00CB2D7B">
      <w:headerReference w:type="default" r:id="rId7"/>
      <w:footerReference w:type="default" r:id="rId8"/>
      <w:pgSz w:w="11906" w:h="16838"/>
      <w:pgMar w:top="1417" w:right="926" w:bottom="1258" w:left="1417" w:header="708" w:footer="93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97" w:rsidRDefault="00EB5697" w:rsidP="00FF7465">
      <w:pPr>
        <w:spacing w:after="0" w:line="240" w:lineRule="auto"/>
      </w:pPr>
      <w:r>
        <w:separator/>
      </w:r>
    </w:p>
  </w:endnote>
  <w:endnote w:type="continuationSeparator" w:id="0">
    <w:p w:rsidR="00EB5697" w:rsidRDefault="00EB5697" w:rsidP="00FF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78" w:rsidRDefault="00CF12AB" w:rsidP="00CB2D7B">
    <w:pPr>
      <w:pStyle w:val="Pieddepage"/>
      <w:jc w:val="right"/>
    </w:pPr>
    <w:r>
      <w:rPr>
        <w:rStyle w:val="Numrodepage"/>
      </w:rPr>
      <w:fldChar w:fldCharType="begin"/>
    </w:r>
    <w:r w:rsidR="00F31E78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F4D9F">
      <w:rPr>
        <w:rStyle w:val="Numrodepage"/>
        <w:noProof/>
      </w:rPr>
      <w:t>2</w:t>
    </w:r>
    <w:r>
      <w:rPr>
        <w:rStyle w:val="Numrodepage"/>
      </w:rPr>
      <w:fldChar w:fldCharType="end"/>
    </w:r>
    <w:r w:rsidR="00F31E78">
      <w:rPr>
        <w:rStyle w:val="Numrodepage"/>
      </w:rPr>
      <w:t xml:space="preserve"> / </w:t>
    </w:r>
    <w:r>
      <w:rPr>
        <w:rStyle w:val="Numrodepage"/>
      </w:rPr>
      <w:fldChar w:fldCharType="begin"/>
    </w:r>
    <w:r w:rsidR="00F31E78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F4D9F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97" w:rsidRDefault="00EB5697" w:rsidP="00FF7465">
      <w:pPr>
        <w:spacing w:after="0" w:line="240" w:lineRule="auto"/>
      </w:pPr>
      <w:r>
        <w:separator/>
      </w:r>
    </w:p>
  </w:footnote>
  <w:footnote w:type="continuationSeparator" w:id="0">
    <w:p w:rsidR="00EB5697" w:rsidRDefault="00EB5697" w:rsidP="00FF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78" w:rsidRPr="00FF7465" w:rsidRDefault="00F31E78" w:rsidP="00745AC6">
    <w:pPr>
      <w:pStyle w:val="En-tte"/>
      <w:jc w:val="right"/>
      <w:rPr>
        <w:i/>
      </w:rPr>
    </w:pPr>
    <w:r>
      <w:rPr>
        <w:i/>
      </w:rPr>
      <w:t>S</w:t>
    </w:r>
    <w:r w:rsidRPr="00FF7465">
      <w:rPr>
        <w:i/>
      </w:rPr>
      <w:t>éminaire</w:t>
    </w:r>
    <w:r>
      <w:rPr>
        <w:i/>
      </w:rPr>
      <w:t xml:space="preserve"> national Economie-gestion - 10 et 11mai 2012, </w:t>
    </w:r>
    <w:r w:rsidRPr="00FF7465">
      <w:rPr>
        <w:i/>
      </w:rPr>
      <w:t>Lyon</w:t>
    </w:r>
    <w:r>
      <w:rPr>
        <w:i/>
      </w:rPr>
      <w:t xml:space="preserve"> – synthèse des ateliers lettres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41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A28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360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DEA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921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E69B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8021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087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DD0C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788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AA0B25"/>
    <w:multiLevelType w:val="hybridMultilevel"/>
    <w:tmpl w:val="F210F44E"/>
    <w:lvl w:ilvl="0" w:tplc="9C7CB0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A3203"/>
    <w:multiLevelType w:val="hybridMultilevel"/>
    <w:tmpl w:val="97A29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81479"/>
    <w:multiLevelType w:val="hybridMultilevel"/>
    <w:tmpl w:val="1598C3CC"/>
    <w:lvl w:ilvl="0" w:tplc="9C7CB0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848"/>
    <w:rsid w:val="000175D6"/>
    <w:rsid w:val="00030A2A"/>
    <w:rsid w:val="00066587"/>
    <w:rsid w:val="000A38EC"/>
    <w:rsid w:val="000B0BAB"/>
    <w:rsid w:val="000E7C00"/>
    <w:rsid w:val="001E280C"/>
    <w:rsid w:val="001E2DDF"/>
    <w:rsid w:val="002164C0"/>
    <w:rsid w:val="00333F23"/>
    <w:rsid w:val="003B0D7E"/>
    <w:rsid w:val="003E2043"/>
    <w:rsid w:val="00427B71"/>
    <w:rsid w:val="00456713"/>
    <w:rsid w:val="0048776C"/>
    <w:rsid w:val="004C52FD"/>
    <w:rsid w:val="004D0E7C"/>
    <w:rsid w:val="004D3ACB"/>
    <w:rsid w:val="00506DF4"/>
    <w:rsid w:val="00510301"/>
    <w:rsid w:val="005345AE"/>
    <w:rsid w:val="005A68EB"/>
    <w:rsid w:val="005D65B4"/>
    <w:rsid w:val="005E6479"/>
    <w:rsid w:val="005F5CD2"/>
    <w:rsid w:val="00654DC5"/>
    <w:rsid w:val="006C4240"/>
    <w:rsid w:val="00727FBF"/>
    <w:rsid w:val="00740A83"/>
    <w:rsid w:val="00744B4B"/>
    <w:rsid w:val="00745AC6"/>
    <w:rsid w:val="007C60A8"/>
    <w:rsid w:val="0084154B"/>
    <w:rsid w:val="00846785"/>
    <w:rsid w:val="008546C8"/>
    <w:rsid w:val="008A65A3"/>
    <w:rsid w:val="008B123A"/>
    <w:rsid w:val="008B6848"/>
    <w:rsid w:val="00902829"/>
    <w:rsid w:val="00942303"/>
    <w:rsid w:val="009832BC"/>
    <w:rsid w:val="009B2C34"/>
    <w:rsid w:val="009D67FF"/>
    <w:rsid w:val="00A4091B"/>
    <w:rsid w:val="00A44B20"/>
    <w:rsid w:val="00A84297"/>
    <w:rsid w:val="00B02B75"/>
    <w:rsid w:val="00B03ECE"/>
    <w:rsid w:val="00B32EBB"/>
    <w:rsid w:val="00BF4D9F"/>
    <w:rsid w:val="00C53445"/>
    <w:rsid w:val="00C6161E"/>
    <w:rsid w:val="00C738C6"/>
    <w:rsid w:val="00C77C68"/>
    <w:rsid w:val="00C90A44"/>
    <w:rsid w:val="00CB2D7B"/>
    <w:rsid w:val="00CE6D11"/>
    <w:rsid w:val="00CF12AB"/>
    <w:rsid w:val="00DB1203"/>
    <w:rsid w:val="00DB7A2E"/>
    <w:rsid w:val="00E21FEF"/>
    <w:rsid w:val="00E96D0A"/>
    <w:rsid w:val="00EB5697"/>
    <w:rsid w:val="00F0402B"/>
    <w:rsid w:val="00F31E78"/>
    <w:rsid w:val="00F51B6A"/>
    <w:rsid w:val="00F52C65"/>
    <w:rsid w:val="00F64A34"/>
    <w:rsid w:val="00F761B6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B4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CF12A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12AB"/>
    <w:rPr>
      <w:rFonts w:ascii="Lucida Grande" w:hAnsi="Lucida Grande" w:cs="Times New Roman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4D3A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rsid w:val="00FF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F7465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FF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F7465"/>
    <w:rPr>
      <w:rFonts w:cs="Times New Roman"/>
    </w:rPr>
  </w:style>
  <w:style w:type="paragraph" w:customStyle="1" w:styleId="TitreDossier">
    <w:name w:val="Titre Dossier"/>
    <w:basedOn w:val="Normal"/>
    <w:uiPriority w:val="99"/>
    <w:rsid w:val="00745AC6"/>
    <w:pPr>
      <w:pBdr>
        <w:top w:val="single" w:sz="12" w:space="12" w:color="CC0066"/>
        <w:left w:val="single" w:sz="12" w:space="4" w:color="CC0066"/>
        <w:bottom w:val="single" w:sz="12" w:space="12" w:color="CC0066"/>
        <w:right w:val="single" w:sz="12" w:space="4" w:color="CC0066"/>
      </w:pBdr>
      <w:spacing w:after="0" w:line="240" w:lineRule="auto"/>
      <w:ind w:left="142" w:right="142"/>
      <w:jc w:val="center"/>
    </w:pPr>
    <w:rPr>
      <w:rFonts w:ascii="Tahoma" w:hAnsi="Tahoma"/>
      <w:b/>
      <w:color w:val="CC0066"/>
      <w:sz w:val="40"/>
      <w:szCs w:val="24"/>
      <w:lang w:eastAsia="fr-FR"/>
    </w:rPr>
  </w:style>
  <w:style w:type="character" w:styleId="Numrodepage">
    <w:name w:val="page number"/>
    <w:basedOn w:val="Policepardfaut"/>
    <w:uiPriority w:val="99"/>
    <w:rsid w:val="00CB2D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3941</Characters>
  <Application>Microsoft Office Word</Application>
  <DocSecurity>0</DocSecurity>
  <Lines>32</Lines>
  <Paragraphs>9</Paragraphs>
  <ScaleCrop>false</ScaleCrop>
  <Company> 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Utilisateur</cp:lastModifiedBy>
  <cp:revision>2</cp:revision>
  <dcterms:created xsi:type="dcterms:W3CDTF">2012-07-05T14:10:00Z</dcterms:created>
  <dcterms:modified xsi:type="dcterms:W3CDTF">2012-07-05T14:10:00Z</dcterms:modified>
</cp:coreProperties>
</file>