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10632" w:type="dxa"/>
        <w:tblInd w:w="-60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59"/>
        <w:gridCol w:w="3656"/>
        <w:gridCol w:w="3617"/>
      </w:tblGrid>
      <w:tr w:rsidR="00C077AE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C077AE" w:rsidRPr="00120AAC" w:rsidRDefault="00C077AE" w:rsidP="00344172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CYCLE </w:t>
            </w:r>
            <w:r w:rsidR="005E2B42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3 / 6</w:t>
            </w:r>
            <w:r w:rsidR="005C323E" w:rsidRP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ème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231418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231418" w:rsidRPr="00344AFA" w:rsidRDefault="00231418" w:rsidP="00344172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</w:p>
        </w:tc>
      </w:tr>
      <w:tr w:rsidR="00231418" w:rsidRPr="005C323E">
        <w:trPr>
          <w:trHeight w:val="2414"/>
        </w:trPr>
        <w:tc>
          <w:tcPr>
            <w:tcW w:w="3657" w:type="dxa"/>
          </w:tcPr>
          <w:p w:rsidR="00F847DE" w:rsidRDefault="00F847DE" w:rsidP="004A4263">
            <w:pPr>
              <w:rPr>
                <w:rFonts w:ascii="Arial" w:hAnsi="Arial"/>
                <w:b/>
                <w:bCs/>
                <w:sz w:val="16"/>
              </w:rPr>
            </w:pPr>
          </w:p>
          <w:p w:rsidR="00A87084" w:rsidRDefault="00A87084" w:rsidP="004A4263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1776791" cy="2487507"/>
                  <wp:effectExtent l="25400" t="0" r="1209" b="0"/>
                  <wp:docPr id="2" name="Image 2" descr=":messerschmid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messerschmid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91" cy="2487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084" w:rsidRPr="009D4C04" w:rsidRDefault="00A87084" w:rsidP="00A87084">
            <w:pPr>
              <w:rPr>
                <w:rFonts w:ascii="Times" w:hAnsi="Times"/>
                <w:b/>
                <w:sz w:val="16"/>
                <w:szCs w:val="20"/>
                <w:lang w:eastAsia="fr-FR"/>
              </w:rPr>
            </w:pPr>
            <w:r w:rsidRPr="009D4C04">
              <w:rPr>
                <w:rFonts w:ascii="Arial" w:hAnsi="Arial"/>
                <w:b/>
                <w:color w:val="333333"/>
                <w:sz w:val="16"/>
                <w:szCs w:val="19"/>
                <w:shd w:val="clear" w:color="auto" w:fill="FFFFFF"/>
                <w:lang w:eastAsia="fr-FR"/>
              </w:rPr>
              <w:t>Franz Xavier MESSERSCHMIDT</w:t>
            </w:r>
          </w:p>
          <w:p w:rsidR="00231418" w:rsidRPr="004A4263" w:rsidRDefault="00231418" w:rsidP="004A4263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</w:tc>
        <w:tc>
          <w:tcPr>
            <w:tcW w:w="3136" w:type="dxa"/>
          </w:tcPr>
          <w:p w:rsidR="00F847DE" w:rsidRDefault="00F847DE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9D4C04" w:rsidRDefault="00A87084" w:rsidP="009E340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2151168" cy="3230692"/>
                  <wp:effectExtent l="25400" t="0" r="7832" b="0"/>
                  <wp:docPr id="4" name="Image 4" descr=":wu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wu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336" cy="3224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18" w:rsidRPr="009D4C04" w:rsidRDefault="009D4C04" w:rsidP="009E340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  <w:t xml:space="preserve">Erwin </w:t>
            </w:r>
            <w:r w:rsidRPr="009D4C04"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  <w:t>WURM</w:t>
            </w:r>
          </w:p>
        </w:tc>
        <w:tc>
          <w:tcPr>
            <w:tcW w:w="3839" w:type="dxa"/>
          </w:tcPr>
          <w:p w:rsidR="00A87084" w:rsidRPr="00C262B0" w:rsidRDefault="00A87084" w:rsidP="009E340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</w:p>
          <w:p w:rsidR="00231418" w:rsidRPr="00C262B0" w:rsidRDefault="00C262B0" w:rsidP="00896CF1">
            <w:pPr>
              <w:jc w:val="center"/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  <w:r w:rsidRPr="00C262B0">
              <w:rPr>
                <w:rFonts w:ascii="Arial" w:hAnsi="Arial" w:cs="Helvetica"/>
                <w:b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1990302" cy="2956788"/>
                  <wp:effectExtent l="25400" t="0" r="0" b="0"/>
                  <wp:docPr id="5" name="Image 5" descr=":sharak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:sharak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02" cy="295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2B0"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  <w:br/>
              <w:t>SHARAKU</w:t>
            </w:r>
          </w:p>
        </w:tc>
      </w:tr>
      <w:tr w:rsidR="00600B04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600B04" w:rsidRPr="00344AFA" w:rsidRDefault="00344172" w:rsidP="00E921D6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TITRE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 : </w:t>
            </w:r>
            <w:r w:rsidR="00E921D6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FÊTE</w:t>
            </w:r>
            <w:r w:rsidR="00D26800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DE</w:t>
            </w:r>
            <w:r w:rsidR="00E921D6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S</w:t>
            </w:r>
            <w:r w:rsidR="005E2B42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GRIMACES</w:t>
            </w:r>
          </w:p>
        </w:tc>
      </w:tr>
      <w:tr w:rsidR="00D7480D" w:rsidRPr="00120AAC">
        <w:trPr>
          <w:trHeight w:val="1135"/>
        </w:trPr>
        <w:tc>
          <w:tcPr>
            <w:tcW w:w="10632" w:type="dxa"/>
            <w:gridSpan w:val="3"/>
          </w:tcPr>
          <w:p w:rsidR="002317B7" w:rsidRPr="00B623ED" w:rsidRDefault="00D7480D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B623ED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  <w:r w:rsidR="00F847DE">
              <w:rPr>
                <w:rFonts w:ascii="Arial" w:hAnsi="Arial"/>
                <w:b/>
                <w:color w:val="FF0000"/>
                <w:sz w:val="20"/>
                <w:szCs w:val="28"/>
              </w:rPr>
              <w:t xml:space="preserve"> </w:t>
            </w: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br/>
            </w:r>
          </w:p>
          <w:p w:rsidR="00CF5500" w:rsidRPr="00CF5500" w:rsidRDefault="00CF5500" w:rsidP="00CF5500">
            <w:pPr>
              <w:rPr>
                <w:rFonts w:ascii="Arial" w:hAnsi="Arial"/>
                <w:color w:val="76923C" w:themeColor="accent3" w:themeShade="BF"/>
                <w:sz w:val="20"/>
              </w:rPr>
            </w:pPr>
            <w:r w:rsidRPr="00CF5500">
              <w:rPr>
                <w:rFonts w:ascii="Arial" w:hAnsi="Arial"/>
                <w:color w:val="76923C" w:themeColor="accent3" w:themeShade="BF"/>
                <w:sz w:val="20"/>
              </w:rPr>
              <w:t>GRIMACE : Contorsion de certains muscles du visage qui traduit un sentiment de douleur, de dégoût, etc. (définition du dictionnaire Larousse)</w:t>
            </w:r>
          </w:p>
          <w:p w:rsidR="001F43D9" w:rsidRDefault="00CF55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À toi maintenant de faire des grimaces, de les dessiner, de les peindre, de les </w:t>
            </w:r>
            <w:proofErr w:type="spellStart"/>
            <w:r w:rsidRPr="00CF5500">
              <w:rPr>
                <w:rFonts w:ascii="Arial" w:hAnsi="Arial"/>
                <w:i/>
                <w:sz w:val="20"/>
              </w:rPr>
              <w:t>découper-coller</w:t>
            </w:r>
            <w:proofErr w:type="spellEnd"/>
            <w:r>
              <w:rPr>
                <w:rFonts w:ascii="Arial" w:hAnsi="Arial"/>
                <w:sz w:val="20"/>
              </w:rPr>
              <w:t>, de les photographier... Plein de grimaces différentes </w:t>
            </w:r>
            <w:r w:rsidR="001F43D9">
              <w:rPr>
                <w:rFonts w:ascii="Arial" w:hAnsi="Arial"/>
                <w:sz w:val="20"/>
              </w:rPr>
              <w:t xml:space="preserve">et fais-moi parvenir le résultat </w:t>
            </w:r>
            <w:r w:rsidR="00C262B0">
              <w:rPr>
                <w:rFonts w:ascii="Arial" w:hAnsi="Arial"/>
                <w:sz w:val="20"/>
              </w:rPr>
              <w:t xml:space="preserve">par mail </w:t>
            </w:r>
            <w:r w:rsidR="001F43D9">
              <w:rPr>
                <w:rFonts w:ascii="Arial" w:hAnsi="Arial"/>
                <w:sz w:val="20"/>
              </w:rPr>
              <w:t>via l’ENT</w:t>
            </w:r>
            <w:r w:rsidR="00C262B0">
              <w:rPr>
                <w:rFonts w:ascii="Arial" w:hAnsi="Arial"/>
                <w:sz w:val="20"/>
              </w:rPr>
              <w:t> !</w:t>
            </w:r>
          </w:p>
          <w:p w:rsidR="00D7480D" w:rsidRPr="00B623ED" w:rsidRDefault="001F43D9">
            <w:pPr>
              <w:rPr>
                <w:rFonts w:ascii="Arial" w:hAnsi="Arial"/>
                <w:sz w:val="20"/>
              </w:rPr>
            </w:pPr>
            <w:r w:rsidRPr="003010E7">
              <w:rPr>
                <w:rFonts w:ascii="Arial" w:hAnsi="Arial"/>
                <w:color w:val="FF0000"/>
                <w:sz w:val="20"/>
              </w:rPr>
              <w:t>Ta réalisation s’étalera au moins sur deux semaine</w:t>
            </w:r>
            <w:r>
              <w:rPr>
                <w:rFonts w:ascii="Arial" w:hAnsi="Arial"/>
                <w:color w:val="FF0000"/>
                <w:sz w:val="20"/>
              </w:rPr>
              <w:t>s</w:t>
            </w:r>
            <w:r w:rsidR="00E256E2">
              <w:rPr>
                <w:rFonts w:ascii="Arial" w:hAnsi="Arial"/>
                <w:color w:val="FF0000"/>
                <w:sz w:val="20"/>
              </w:rPr>
              <w:t xml:space="preserve">, </w:t>
            </w:r>
            <w:r w:rsidR="000852DE">
              <w:rPr>
                <w:rFonts w:ascii="Arial" w:hAnsi="Arial"/>
                <w:color w:val="FF0000"/>
                <w:sz w:val="20"/>
              </w:rPr>
              <w:t xml:space="preserve">peut-être </w:t>
            </w:r>
            <w:r w:rsidR="00E256E2">
              <w:rPr>
                <w:rFonts w:ascii="Arial" w:hAnsi="Arial"/>
                <w:color w:val="FF0000"/>
                <w:sz w:val="20"/>
              </w:rPr>
              <w:t>à partir de</w:t>
            </w:r>
            <w:r w:rsidRPr="003010E7">
              <w:rPr>
                <w:rFonts w:ascii="Arial" w:hAnsi="Arial"/>
                <w:color w:val="FF0000"/>
                <w:sz w:val="20"/>
              </w:rPr>
              <w:t xml:space="preserve"> projet</w:t>
            </w:r>
            <w:r w:rsidR="00E256E2">
              <w:rPr>
                <w:rFonts w:ascii="Arial" w:hAnsi="Arial"/>
                <w:color w:val="FF0000"/>
                <w:sz w:val="20"/>
              </w:rPr>
              <w:t>s</w:t>
            </w:r>
            <w:r w:rsidRPr="003010E7">
              <w:rPr>
                <w:rFonts w:ascii="Arial" w:hAnsi="Arial"/>
                <w:color w:val="FF0000"/>
                <w:sz w:val="20"/>
              </w:rPr>
              <w:t xml:space="preserve"> cahier</w:t>
            </w:r>
            <w:r>
              <w:rPr>
                <w:rFonts w:ascii="Arial" w:hAnsi="Arial"/>
                <w:color w:val="FF0000"/>
                <w:sz w:val="20"/>
              </w:rPr>
              <w:t>.</w:t>
            </w:r>
          </w:p>
        </w:tc>
      </w:tr>
      <w:tr w:rsidR="00FD6783" w:rsidRPr="00120AAC">
        <w:trPr>
          <w:trHeight w:val="911"/>
        </w:trPr>
        <w:tc>
          <w:tcPr>
            <w:tcW w:w="10632" w:type="dxa"/>
            <w:gridSpan w:val="3"/>
          </w:tcPr>
          <w:p w:rsidR="00344AFA" w:rsidRDefault="00344AFA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5A6C01" w:rsidRDefault="00FD6783" w:rsidP="005A6C01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RECHERCHE HISTOIRE DES ARTS : </w:t>
            </w:r>
            <w:r w:rsidRPr="00B623ED">
              <w:rPr>
                <w:rFonts w:ascii="Arial" w:hAnsi="Arial"/>
                <w:b/>
                <w:color w:val="FF0000"/>
                <w:szCs w:val="28"/>
              </w:rPr>
              <w:t>À recopier dans le cahier d’arts plastiques</w:t>
            </w:r>
            <w:r w:rsidR="006F2FA4">
              <w:rPr>
                <w:rFonts w:ascii="Arial" w:hAnsi="Arial"/>
                <w:b/>
                <w:color w:val="FF0000"/>
                <w:szCs w:val="28"/>
              </w:rPr>
              <w:br/>
            </w:r>
          </w:p>
          <w:p w:rsidR="005A6C01" w:rsidRDefault="005A6C01" w:rsidP="005A6C01">
            <w:pPr>
              <w:pStyle w:val="NormalWeb"/>
              <w:numPr>
                <w:ilvl w:val="0"/>
                <w:numId w:val="19"/>
              </w:numPr>
              <w:spacing w:beforeLines="0" w:afterLines="0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b/>
                <w:color w:val="000000"/>
                <w:szCs w:val="28"/>
              </w:rPr>
              <w:t xml:space="preserve">Erwin WURM (1954- ), </w:t>
            </w:r>
            <w:r w:rsidRPr="005A6C01">
              <w:rPr>
                <w:rFonts w:ascii="Arial" w:hAnsi="Arial"/>
                <w:color w:val="000000"/>
                <w:szCs w:val="28"/>
              </w:rPr>
              <w:t>One minute sculpture, 1997-98</w:t>
            </w:r>
            <w:r>
              <w:rPr>
                <w:rFonts w:ascii="Arial" w:hAnsi="Arial"/>
                <w:b/>
                <w:color w:val="000000"/>
                <w:szCs w:val="28"/>
              </w:rPr>
              <w:br/>
            </w:r>
            <w:hyperlink r:id="rId8" w:history="1">
              <w:r w:rsidRPr="005A6C01">
                <w:rPr>
                  <w:rStyle w:val="Lienhypertexte"/>
                  <w:rFonts w:ascii="Arial" w:hAnsi="Arial"/>
                  <w:szCs w:val="28"/>
                </w:rPr>
                <w:t>https://www.centrepompidou.fr/cpv/resource/cezXe8e/rAnMKB7</w:t>
              </w:r>
            </w:hyperlink>
            <w:r w:rsidRPr="005A6C01">
              <w:rPr>
                <w:rFonts w:ascii="Arial" w:hAnsi="Arial"/>
                <w:color w:val="000000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</w:rPr>
              <w:br/>
            </w:r>
          </w:p>
          <w:p w:rsidR="005A6C01" w:rsidRPr="00BA44DF" w:rsidRDefault="005A6C01" w:rsidP="00BA44DF">
            <w:pPr>
              <w:pStyle w:val="NormalWeb"/>
              <w:numPr>
                <w:ilvl w:val="0"/>
                <w:numId w:val="19"/>
              </w:numPr>
              <w:spacing w:before="2" w:after="2"/>
              <w:rPr>
                <w:rFonts w:ascii="Arial" w:hAnsi="Arial"/>
                <w:color w:val="000000"/>
                <w:szCs w:val="28"/>
              </w:rPr>
            </w:pPr>
            <w:r w:rsidRPr="005A6C01">
              <w:rPr>
                <w:rFonts w:ascii="Arial" w:hAnsi="Arial"/>
                <w:b/>
                <w:color w:val="000000"/>
                <w:szCs w:val="28"/>
              </w:rPr>
              <w:t>Franz Xavier MESSERSCHMIDT</w:t>
            </w:r>
            <w:r w:rsidR="00A126B2">
              <w:rPr>
                <w:rFonts w:ascii="Arial" w:hAnsi="Arial"/>
                <w:b/>
                <w:color w:val="000000"/>
                <w:szCs w:val="28"/>
              </w:rPr>
              <w:t xml:space="preserve"> </w:t>
            </w:r>
            <w:r w:rsidR="00A126B2" w:rsidRPr="00A126B2">
              <w:rPr>
                <w:rFonts w:ascii="Arial" w:hAnsi="Arial"/>
                <w:b/>
                <w:color w:val="000000"/>
                <w:szCs w:val="28"/>
              </w:rPr>
              <w:t>(1736–1783)</w:t>
            </w:r>
            <w:r w:rsidR="007E3983" w:rsidRPr="00A126B2">
              <w:rPr>
                <w:rFonts w:ascii="Arial" w:hAnsi="Arial"/>
                <w:b/>
                <w:color w:val="000000"/>
                <w:szCs w:val="28"/>
              </w:rPr>
              <w:t xml:space="preserve">, </w:t>
            </w:r>
            <w:r w:rsidR="007E3983" w:rsidRPr="00A126B2">
              <w:rPr>
                <w:rFonts w:ascii="Arial" w:hAnsi="Arial"/>
                <w:color w:val="000000"/>
                <w:szCs w:val="28"/>
              </w:rPr>
              <w:t xml:space="preserve">choisis une de ses </w:t>
            </w:r>
            <w:r w:rsidR="00BA44DF" w:rsidRPr="00BA44DF">
              <w:rPr>
                <w:rFonts w:ascii="Arial" w:hAnsi="Arial"/>
                <w:b/>
                <w:color w:val="000000"/>
                <w:szCs w:val="28"/>
              </w:rPr>
              <w:t>Têtes de caractère </w:t>
            </w:r>
            <w:r w:rsidR="007E3983" w:rsidRPr="00BA44DF">
              <w:rPr>
                <w:rFonts w:ascii="Arial" w:hAnsi="Arial"/>
                <w:color w:val="000000"/>
                <w:szCs w:val="28"/>
              </w:rPr>
              <w:t>et explique ton choix.</w:t>
            </w:r>
            <w:r w:rsidRPr="00BA44DF">
              <w:rPr>
                <w:rFonts w:ascii="Arial" w:hAnsi="Arial"/>
                <w:b/>
                <w:color w:val="000000"/>
                <w:szCs w:val="28"/>
              </w:rPr>
              <w:br/>
            </w:r>
            <w:hyperlink r:id="rId9" w:history="1">
              <w:r w:rsidRPr="00BA44DF">
                <w:rPr>
                  <w:rStyle w:val="Lienhypertexte"/>
                  <w:rFonts w:ascii="Arial" w:hAnsi="Arial"/>
                  <w:szCs w:val="28"/>
                </w:rPr>
                <w:t>https://www.beauxarts.com/grand-format/la-folle-histoire-de-franz-xaver-messerschmidt/</w:t>
              </w:r>
            </w:hyperlink>
            <w:r w:rsidRPr="00BA44DF">
              <w:rPr>
                <w:rFonts w:ascii="Arial" w:hAnsi="Arial"/>
                <w:b/>
                <w:color w:val="000000"/>
                <w:szCs w:val="28"/>
              </w:rPr>
              <w:t xml:space="preserve"> </w:t>
            </w:r>
            <w:r w:rsidR="00A126B2" w:rsidRPr="00BA44DF">
              <w:rPr>
                <w:rFonts w:ascii="Arial" w:hAnsi="Arial"/>
                <w:b/>
                <w:color w:val="000000"/>
                <w:szCs w:val="28"/>
              </w:rPr>
              <w:br/>
            </w:r>
          </w:p>
          <w:p w:rsidR="00C262B0" w:rsidRPr="00C262B0" w:rsidRDefault="004B1CB4" w:rsidP="00C262B0">
            <w:pPr>
              <w:pStyle w:val="NormalWeb"/>
              <w:numPr>
                <w:ilvl w:val="0"/>
                <w:numId w:val="19"/>
              </w:numPr>
              <w:spacing w:before="2" w:after="2"/>
              <w:rPr>
                <w:rFonts w:ascii="Arial" w:hAnsi="Arial"/>
                <w:b/>
                <w:bCs/>
                <w:color w:val="000000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Cs w:val="28"/>
              </w:rPr>
              <w:t>SHARAKU</w:t>
            </w:r>
            <w:r w:rsidR="00C262B0">
              <w:rPr>
                <w:rFonts w:ascii="Arial" w:hAnsi="Arial"/>
                <w:b/>
                <w:bCs/>
                <w:color w:val="000000"/>
                <w:szCs w:val="28"/>
              </w:rPr>
              <w:t xml:space="preserve"> (Artiste japonais du 18</w:t>
            </w:r>
            <w:r w:rsidR="00C262B0" w:rsidRPr="00C262B0">
              <w:rPr>
                <w:rFonts w:ascii="Arial" w:hAnsi="Arial"/>
                <w:b/>
                <w:bCs/>
                <w:color w:val="000000"/>
                <w:szCs w:val="28"/>
                <w:vertAlign w:val="superscript"/>
              </w:rPr>
              <w:t>ème</w:t>
            </w:r>
            <w:r w:rsidR="00C262B0">
              <w:rPr>
                <w:rFonts w:ascii="Arial" w:hAnsi="Arial"/>
                <w:b/>
                <w:bCs/>
                <w:color w:val="000000"/>
                <w:szCs w:val="28"/>
              </w:rPr>
              <w:t xml:space="preserve"> siècle)</w:t>
            </w:r>
            <w:r>
              <w:rPr>
                <w:rFonts w:ascii="Arial" w:hAnsi="Arial"/>
                <w:b/>
                <w:bCs/>
                <w:color w:val="000000"/>
                <w:szCs w:val="28"/>
              </w:rPr>
              <w:t xml:space="preserve">, </w:t>
            </w:r>
            <w:r w:rsidRPr="004B1CB4">
              <w:rPr>
                <w:rFonts w:ascii="Arial" w:hAnsi="Arial"/>
                <w:bCs/>
                <w:color w:val="000000"/>
                <w:szCs w:val="28"/>
              </w:rPr>
              <w:t>Les grimaces</w:t>
            </w:r>
            <w:r>
              <w:rPr>
                <w:rFonts w:ascii="Arial" w:hAnsi="Arial"/>
                <w:b/>
                <w:bCs/>
                <w:color w:val="000000"/>
                <w:szCs w:val="28"/>
              </w:rPr>
              <w:t xml:space="preserve"> </w:t>
            </w:r>
            <w:r w:rsidR="00C262B0">
              <w:rPr>
                <w:rFonts w:ascii="Arial" w:hAnsi="Arial"/>
                <w:b/>
                <w:bCs/>
                <w:color w:val="000000"/>
                <w:szCs w:val="28"/>
              </w:rPr>
              <w:br/>
            </w:r>
            <w:hyperlink r:id="rId10" w:history="1">
              <w:r w:rsidR="00C262B0" w:rsidRPr="00C262B0">
                <w:rPr>
                  <w:rStyle w:val="Lienhypertexte"/>
                  <w:rFonts w:ascii="Arial" w:hAnsi="Arial"/>
                  <w:bCs/>
                  <w:szCs w:val="28"/>
                </w:rPr>
                <w:t>https://www.museumtv.art/artnews/articles/les-grimaces-de-sharaku/</w:t>
              </w:r>
            </w:hyperlink>
            <w:r w:rsidR="00C262B0">
              <w:rPr>
                <w:rFonts w:ascii="Arial" w:hAnsi="Arial"/>
                <w:b/>
                <w:bCs/>
                <w:color w:val="000000"/>
                <w:szCs w:val="28"/>
              </w:rPr>
              <w:t xml:space="preserve"> </w:t>
            </w:r>
          </w:p>
          <w:p w:rsidR="00FD6783" w:rsidRPr="00B623ED" w:rsidRDefault="00FD6783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</w:tc>
      </w:tr>
      <w:tr w:rsidR="00D7480D" w:rsidRPr="00120AAC">
        <w:trPr>
          <w:trHeight w:val="687"/>
        </w:trPr>
        <w:tc>
          <w:tcPr>
            <w:tcW w:w="10632" w:type="dxa"/>
            <w:gridSpan w:val="3"/>
          </w:tcPr>
          <w:p w:rsidR="00D7480D" w:rsidRPr="00F46370" w:rsidRDefault="00D7480D" w:rsidP="0010140A">
            <w:pPr>
              <w:pStyle w:val="NormalWeb"/>
              <w:spacing w:before="2" w:after="2"/>
              <w:rPr>
                <w:rFonts w:ascii="Arial" w:hAnsi="Arial"/>
                <w:bCs/>
                <w:color w:val="808080" w:themeColor="background1" w:themeShade="80"/>
                <w:sz w:val="1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  <w:t>LES ENTRÉES DU PROGRAMME</w:t>
            </w:r>
            <w:r w:rsidR="000F1729" w:rsidRPr="00F46370"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  <w:t xml:space="preserve"> </w:t>
            </w:r>
            <w:r w:rsidR="000F1729"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t>(ne pas recopier dans le cahier d’arts plastiques</w:t>
            </w:r>
            <w:proofErr w:type="gramStart"/>
            <w:r w:rsidR="000F1729"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t>)</w:t>
            </w:r>
            <w:proofErr w:type="gramEnd"/>
            <w:r w:rsid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br/>
            </w:r>
            <w:r w:rsidR="00B8671B"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br/>
            </w:r>
            <w:r w:rsidR="0010140A" w:rsidRPr="00F46370">
              <w:rPr>
                <w:rFonts w:ascii="Arial" w:hAnsi="Arial"/>
                <w:b/>
                <w:bCs/>
                <w:color w:val="808080" w:themeColor="background1" w:themeShade="80"/>
                <w:sz w:val="18"/>
              </w:rPr>
              <w:t>La représentation plastique et les dispositifs de présentation</w:t>
            </w:r>
            <w:r w:rsidR="0010140A" w:rsidRPr="00F46370">
              <w:rPr>
                <w:rFonts w:ascii="Arial" w:hAnsi="Arial"/>
                <w:b/>
                <w:bCs/>
                <w:color w:val="808080" w:themeColor="background1" w:themeShade="80"/>
                <w:sz w:val="18"/>
              </w:rPr>
              <w:br/>
            </w:r>
            <w:r w:rsidR="0010140A" w:rsidRPr="00F46370">
              <w:rPr>
                <w:rFonts w:ascii="Arial" w:hAnsi="Arial"/>
                <w:bCs/>
                <w:color w:val="808080" w:themeColor="background1" w:themeShade="80"/>
                <w:sz w:val="18"/>
              </w:rPr>
              <w:t>Les différentes catégories d’images, La narration visuelle</w:t>
            </w:r>
          </w:p>
          <w:p w:rsidR="00D7480D" w:rsidRPr="00F46370" w:rsidRDefault="00D7480D">
            <w:pPr>
              <w:rPr>
                <w:rFonts w:ascii="Arial" w:hAnsi="Arial"/>
                <w:color w:val="808080" w:themeColor="background1" w:themeShade="80"/>
                <w:sz w:val="18"/>
              </w:rPr>
            </w:pPr>
          </w:p>
        </w:tc>
      </w:tr>
      <w:tr w:rsidR="00D7480D" w:rsidRPr="00120AAC">
        <w:trPr>
          <w:trHeight w:val="2526"/>
        </w:trPr>
        <w:tc>
          <w:tcPr>
            <w:tcW w:w="10632" w:type="dxa"/>
            <w:gridSpan w:val="3"/>
          </w:tcPr>
          <w:p w:rsidR="00120AAC" w:rsidRPr="00F46370" w:rsidRDefault="00AB420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  <w:t xml:space="preserve">LES COMPÉTENCES </w:t>
            </w:r>
            <w:r w:rsidR="000F1729"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t>(ne pas recopier dans le cahier d’arts plastiques)</w:t>
            </w:r>
            <w:r w:rsid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br/>
            </w:r>
          </w:p>
          <w:p w:rsidR="00B47D1C" w:rsidRPr="00F46370" w:rsidRDefault="00B47D1C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 w:val="1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</w:rPr>
              <w:t>Expérimenter, produire, créer</w:t>
            </w:r>
          </w:p>
          <w:p w:rsidR="0010140A" w:rsidRPr="00F46370" w:rsidRDefault="0010140A" w:rsidP="0010140A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 w:val="18"/>
                <w:szCs w:val="2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  <w:t>C1.2</w:t>
            </w:r>
            <w:r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t xml:space="preserve"> Représenter le monde environnant ou donner forme à son imaginaire en explorant divers domaines (dessin, collage, modelage, sculpture, photographie, </w:t>
            </w:r>
            <w:proofErr w:type="gramStart"/>
            <w:r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t>vidéo…)</w:t>
            </w:r>
            <w:proofErr w:type="gramEnd"/>
            <w:r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t>.</w:t>
            </w:r>
            <w:r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br/>
            </w:r>
          </w:p>
          <w:p w:rsidR="00344172" w:rsidRPr="00F46370" w:rsidRDefault="008E6E55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 w:val="1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</w:rPr>
              <w:t>Mettre en œuvre un projet artistique</w:t>
            </w:r>
          </w:p>
          <w:p w:rsidR="0010140A" w:rsidRPr="00F46370" w:rsidRDefault="0010140A" w:rsidP="0010140A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 w:val="18"/>
                <w:szCs w:val="2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  <w:t xml:space="preserve">C2.1 </w:t>
            </w:r>
            <w:r w:rsidRPr="00F46370">
              <w:rPr>
                <w:rFonts w:ascii="Arial" w:hAnsi="Arial"/>
                <w:color w:val="808080" w:themeColor="background1" w:themeShade="80"/>
                <w:sz w:val="18"/>
                <w:szCs w:val="28"/>
              </w:rPr>
              <w:t>Identifier les principaux outils et compétences nécessaires à la réalisation d’un projet artistique.</w:t>
            </w:r>
          </w:p>
          <w:p w:rsidR="00B2634B" w:rsidRPr="00F46370" w:rsidRDefault="00B2634B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</w:pPr>
          </w:p>
          <w:p w:rsidR="00AA5BC5" w:rsidRPr="00F46370" w:rsidRDefault="008E6E55" w:rsidP="00344172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 w:val="18"/>
                <w:szCs w:val="2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  <w:szCs w:val="28"/>
              </w:rPr>
              <w:t>S’exprimer, analyser sa pratique, celle de ses pairs ; établir une relation avec celle des artistes, s’ouvrir à l’altérité</w:t>
            </w:r>
            <w:r w:rsidR="00AA5BC5" w:rsidRPr="00F46370">
              <w:rPr>
                <w:rFonts w:ascii="Arial" w:hAnsi="Arial"/>
                <w:color w:val="808080" w:themeColor="background1" w:themeShade="80"/>
                <w:sz w:val="18"/>
              </w:rPr>
              <w:t xml:space="preserve">   </w:t>
            </w:r>
          </w:p>
          <w:p w:rsidR="00F43123" w:rsidRPr="00F46370" w:rsidRDefault="00F43123" w:rsidP="00F43123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  <w:sz w:val="1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</w:rPr>
              <w:t>C3.2</w:t>
            </w:r>
            <w:r w:rsidRPr="00F46370">
              <w:rPr>
                <w:rFonts w:ascii="Arial" w:hAnsi="Arial"/>
                <w:color w:val="808080" w:themeColor="background1" w:themeShade="80"/>
                <w:sz w:val="18"/>
              </w:rPr>
              <w:t xml:space="preserve"> Justifier des choix pour rendre compte du cheminement qui conduit de l’intention à la réalisation.</w:t>
            </w:r>
          </w:p>
          <w:p w:rsidR="008E6E55" w:rsidRPr="00F46370" w:rsidRDefault="008E6E55" w:rsidP="008E6E5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  <w:sz w:val="18"/>
              </w:rPr>
            </w:pPr>
          </w:p>
          <w:p w:rsidR="006D1E26" w:rsidRPr="00F46370" w:rsidRDefault="008E6E55" w:rsidP="006D1E26">
            <w:pPr>
              <w:rPr>
                <w:rFonts w:ascii="Arial" w:hAnsi="Arial"/>
                <w:b/>
                <w:color w:val="808080" w:themeColor="background1" w:themeShade="80"/>
                <w:sz w:val="18"/>
              </w:rPr>
            </w:pPr>
            <w:r w:rsidRPr="00F46370">
              <w:rPr>
                <w:rFonts w:ascii="Arial" w:hAnsi="Arial"/>
                <w:b/>
                <w:color w:val="808080" w:themeColor="background1" w:themeShade="80"/>
                <w:sz w:val="18"/>
              </w:rPr>
              <w:t>Se repérer dans les domaines liés aux arts plastiques, être sensible aux questions de l’art</w:t>
            </w:r>
            <w:r w:rsidR="006D1E26" w:rsidRPr="00F46370">
              <w:rPr>
                <w:rFonts w:ascii="Arial" w:hAnsi="Arial"/>
                <w:b/>
                <w:color w:val="808080" w:themeColor="background1" w:themeShade="80"/>
                <w:sz w:val="18"/>
              </w:rPr>
              <w:br/>
              <w:t>C4.1</w:t>
            </w:r>
            <w:r w:rsidR="006D1E26" w:rsidRPr="00F46370">
              <w:rPr>
                <w:rFonts w:ascii="Arial" w:hAnsi="Arial"/>
                <w:color w:val="808080" w:themeColor="background1" w:themeShade="80"/>
                <w:sz w:val="18"/>
              </w:rPr>
              <w:t xml:space="preserve"> </w:t>
            </w:r>
            <w:r w:rsidR="006D1E26" w:rsidRPr="00F46370">
              <w:rPr>
                <w:rFonts w:ascii="Arial" w:hAnsi="Arial"/>
                <w:bCs/>
                <w:color w:val="808080" w:themeColor="background1" w:themeShade="80"/>
                <w:sz w:val="18"/>
              </w:rPr>
              <w:t>Repérer, pour les dépasser, certains a priori et stéréotypes culturels et artistiques.</w:t>
            </w:r>
          </w:p>
          <w:p w:rsidR="00D7480D" w:rsidRPr="00F46370" w:rsidRDefault="00D7480D">
            <w:pPr>
              <w:rPr>
                <w:rFonts w:ascii="Arial" w:hAnsi="Arial"/>
                <w:color w:val="808080" w:themeColor="background1" w:themeShade="80"/>
                <w:sz w:val="18"/>
              </w:rPr>
            </w:pPr>
          </w:p>
        </w:tc>
      </w:tr>
    </w:tbl>
    <w:p w:rsidR="00272A24" w:rsidRPr="00120AAC" w:rsidRDefault="00272A24" w:rsidP="00F46370">
      <w:pPr>
        <w:rPr>
          <w:rFonts w:ascii="Arial" w:hAnsi="Arial"/>
        </w:rPr>
      </w:pPr>
    </w:p>
    <w:sectPr w:rsidR="00272A24" w:rsidRPr="00120AAC" w:rsidSect="00344AFA">
      <w:pgSz w:w="11900" w:h="16840"/>
      <w:pgMar w:top="624" w:right="1417" w:bottom="794" w:left="136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B36959"/>
    <w:multiLevelType w:val="hybridMultilevel"/>
    <w:tmpl w:val="8A64B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C42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C60280"/>
    <w:multiLevelType w:val="hybridMultilevel"/>
    <w:tmpl w:val="C38666F4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B4E0D"/>
    <w:multiLevelType w:val="hybridMultilevel"/>
    <w:tmpl w:val="1ECCC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42C6F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85F5A"/>
    <w:multiLevelType w:val="hybridMultilevel"/>
    <w:tmpl w:val="9F365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01B90"/>
    <w:multiLevelType w:val="hybridMultilevel"/>
    <w:tmpl w:val="3BCC6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41C2A"/>
    <w:multiLevelType w:val="hybridMultilevel"/>
    <w:tmpl w:val="67ACCF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61E06"/>
    <w:multiLevelType w:val="hybridMultilevel"/>
    <w:tmpl w:val="FE44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9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  <w:num w:numId="14">
    <w:abstractNumId w:val="0"/>
  </w:num>
  <w:num w:numId="15">
    <w:abstractNumId w:val="18"/>
  </w:num>
  <w:num w:numId="16">
    <w:abstractNumId w:val="16"/>
  </w:num>
  <w:num w:numId="17">
    <w:abstractNumId w:val="15"/>
  </w:num>
  <w:num w:numId="18">
    <w:abstractNumId w:val="9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480D"/>
    <w:rsid w:val="000474B6"/>
    <w:rsid w:val="00073418"/>
    <w:rsid w:val="000852DE"/>
    <w:rsid w:val="000B6041"/>
    <w:rsid w:val="000F1729"/>
    <w:rsid w:val="000F2CDC"/>
    <w:rsid w:val="0010140A"/>
    <w:rsid w:val="001122B4"/>
    <w:rsid w:val="00114070"/>
    <w:rsid w:val="00120AAC"/>
    <w:rsid w:val="001229D1"/>
    <w:rsid w:val="001D082A"/>
    <w:rsid w:val="001D2522"/>
    <w:rsid w:val="001F43D9"/>
    <w:rsid w:val="0021722E"/>
    <w:rsid w:val="00231418"/>
    <w:rsid w:val="002317B7"/>
    <w:rsid w:val="00272A24"/>
    <w:rsid w:val="0029080F"/>
    <w:rsid w:val="002A6041"/>
    <w:rsid w:val="002B2183"/>
    <w:rsid w:val="002F0BB0"/>
    <w:rsid w:val="003323EA"/>
    <w:rsid w:val="00344172"/>
    <w:rsid w:val="00344AFA"/>
    <w:rsid w:val="00396936"/>
    <w:rsid w:val="003F0B8A"/>
    <w:rsid w:val="00403B76"/>
    <w:rsid w:val="00423268"/>
    <w:rsid w:val="004269B6"/>
    <w:rsid w:val="00435024"/>
    <w:rsid w:val="004562C7"/>
    <w:rsid w:val="004A199C"/>
    <w:rsid w:val="004A4263"/>
    <w:rsid w:val="004B1CB4"/>
    <w:rsid w:val="00577A37"/>
    <w:rsid w:val="005A6C01"/>
    <w:rsid w:val="005B252E"/>
    <w:rsid w:val="005C323E"/>
    <w:rsid w:val="005E2B42"/>
    <w:rsid w:val="00600B04"/>
    <w:rsid w:val="006212B4"/>
    <w:rsid w:val="006B52E8"/>
    <w:rsid w:val="006D1E26"/>
    <w:rsid w:val="006D5249"/>
    <w:rsid w:val="006F2FA4"/>
    <w:rsid w:val="00703A7F"/>
    <w:rsid w:val="007613DA"/>
    <w:rsid w:val="007E3983"/>
    <w:rsid w:val="00832A5E"/>
    <w:rsid w:val="00836972"/>
    <w:rsid w:val="00841C5F"/>
    <w:rsid w:val="0085395F"/>
    <w:rsid w:val="00870AB8"/>
    <w:rsid w:val="008759FE"/>
    <w:rsid w:val="00892414"/>
    <w:rsid w:val="00896CF1"/>
    <w:rsid w:val="008B1B80"/>
    <w:rsid w:val="008C59F4"/>
    <w:rsid w:val="008E02EA"/>
    <w:rsid w:val="008E6E55"/>
    <w:rsid w:val="009615CD"/>
    <w:rsid w:val="00991B82"/>
    <w:rsid w:val="009C5BF7"/>
    <w:rsid w:val="009D4C04"/>
    <w:rsid w:val="009E3402"/>
    <w:rsid w:val="00A126B2"/>
    <w:rsid w:val="00A43E4A"/>
    <w:rsid w:val="00A63E56"/>
    <w:rsid w:val="00A87084"/>
    <w:rsid w:val="00AA5BC5"/>
    <w:rsid w:val="00AB420A"/>
    <w:rsid w:val="00AC3CF6"/>
    <w:rsid w:val="00B2634B"/>
    <w:rsid w:val="00B47D1C"/>
    <w:rsid w:val="00B623ED"/>
    <w:rsid w:val="00B8671B"/>
    <w:rsid w:val="00BA44DF"/>
    <w:rsid w:val="00BA5B1E"/>
    <w:rsid w:val="00BC2682"/>
    <w:rsid w:val="00C0052D"/>
    <w:rsid w:val="00C01D50"/>
    <w:rsid w:val="00C077AE"/>
    <w:rsid w:val="00C16D67"/>
    <w:rsid w:val="00C16F6F"/>
    <w:rsid w:val="00C262B0"/>
    <w:rsid w:val="00C37ED3"/>
    <w:rsid w:val="00C40BDD"/>
    <w:rsid w:val="00C5040F"/>
    <w:rsid w:val="00C73DB6"/>
    <w:rsid w:val="00C9027B"/>
    <w:rsid w:val="00CC60F9"/>
    <w:rsid w:val="00CD5C32"/>
    <w:rsid w:val="00CD752F"/>
    <w:rsid w:val="00CF5500"/>
    <w:rsid w:val="00D21FB9"/>
    <w:rsid w:val="00D246BF"/>
    <w:rsid w:val="00D26800"/>
    <w:rsid w:val="00D330DD"/>
    <w:rsid w:val="00D47836"/>
    <w:rsid w:val="00D5765C"/>
    <w:rsid w:val="00D7480D"/>
    <w:rsid w:val="00DA0BE5"/>
    <w:rsid w:val="00E12B52"/>
    <w:rsid w:val="00E2113C"/>
    <w:rsid w:val="00E24930"/>
    <w:rsid w:val="00E256E2"/>
    <w:rsid w:val="00E6053F"/>
    <w:rsid w:val="00E921D6"/>
    <w:rsid w:val="00EC4A15"/>
    <w:rsid w:val="00EE3819"/>
    <w:rsid w:val="00F43123"/>
    <w:rsid w:val="00F46370"/>
    <w:rsid w:val="00F847DE"/>
    <w:rsid w:val="00FD6783"/>
    <w:rsid w:val="00FE5BD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43D0"/>
  </w:style>
  <w:style w:type="paragraph" w:styleId="Titre2">
    <w:name w:val="heading 2"/>
    <w:basedOn w:val="Normal"/>
    <w:next w:val="Normal"/>
    <w:link w:val="Titre2Car"/>
    <w:rsid w:val="00A12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A12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www.centrepompidou.fr/cpv/resource/cezXe8e/rAnMKB7" TargetMode="External"/><Relationship Id="rId9" Type="http://schemas.openxmlformats.org/officeDocument/2006/relationships/hyperlink" Target="https://www.beauxarts.com/grand-format/la-folle-histoire-de-franz-xaver-messerschmidt/" TargetMode="External"/><Relationship Id="rId10" Type="http://schemas.openxmlformats.org/officeDocument/2006/relationships/hyperlink" Target="https://www.museumtv.art/artnews/articles/les-grimaces-de-sharaku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1969</Characters>
  <Application>Microsoft Word 12.0.0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Bruno Montois</cp:lastModifiedBy>
  <cp:revision>18</cp:revision>
  <cp:lastPrinted>2020-03-20T09:48:00Z</cp:lastPrinted>
  <dcterms:created xsi:type="dcterms:W3CDTF">2020-05-11T13:12:00Z</dcterms:created>
  <dcterms:modified xsi:type="dcterms:W3CDTF">2020-05-12T16:59:00Z</dcterms:modified>
</cp:coreProperties>
</file>